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8966"/>
      </w:tblGrid>
      <w:tr w:rsidR="000D23AF" w14:paraId="66875711" w14:textId="77777777" w:rsidTr="00351BCA">
        <w:tc>
          <w:tcPr>
            <w:tcW w:w="8966" w:type="dxa"/>
          </w:tcPr>
          <w:p w14:paraId="6EB53F51" w14:textId="53C04268" w:rsidR="000D23AF" w:rsidRDefault="00500555" w:rsidP="0002664D">
            <w:pPr>
              <w:pStyle w:val="NoSpacing"/>
              <w:rPr>
                <w:rFonts w:ascii="Georgia" w:hAnsi="Georgia"/>
                <w:sz w:val="96"/>
              </w:rPr>
            </w:pPr>
            <w:r>
              <w:rPr>
                <w:rFonts w:ascii="Georgia" w:hAnsi="Georgia"/>
                <w:sz w:val="96"/>
              </w:rPr>
              <w:t>Data Protection Policy</w:t>
            </w:r>
          </w:p>
          <w:p w14:paraId="11C06188" w14:textId="77777777" w:rsidR="00500555" w:rsidRPr="007F06C7" w:rsidRDefault="00500555" w:rsidP="0002664D">
            <w:pPr>
              <w:pStyle w:val="NoSpacing"/>
              <w:rPr>
                <w:rFonts w:ascii="Georgia" w:hAnsi="Georgia"/>
                <w:sz w:val="96"/>
              </w:rPr>
            </w:pPr>
          </w:p>
          <w:p w14:paraId="3A4AE6DC" w14:textId="77777777" w:rsidR="000D23AF" w:rsidRPr="00C625B0" w:rsidRDefault="000D23AF" w:rsidP="0002664D">
            <w:pPr>
              <w:pStyle w:val="NoSpacing"/>
              <w:rPr>
                <w:rFonts w:ascii="Georgia" w:hAnsi="Georgia"/>
              </w:rPr>
            </w:pPr>
          </w:p>
        </w:tc>
      </w:tr>
      <w:tr w:rsidR="000D23AF" w14:paraId="6D623AF6" w14:textId="77777777" w:rsidTr="00351BCA">
        <w:tc>
          <w:tcPr>
            <w:tcW w:w="8966" w:type="dxa"/>
            <w:shd w:val="clear" w:color="auto" w:fill="7030A0"/>
          </w:tcPr>
          <w:p w14:paraId="71241C83" w14:textId="77777777" w:rsidR="000D23AF" w:rsidRDefault="000D23AF" w:rsidP="0002664D">
            <w:pPr>
              <w:pStyle w:val="NoSpacing"/>
            </w:pPr>
          </w:p>
          <w:p w14:paraId="2CC71AF7" w14:textId="02319A95" w:rsidR="000D23AF" w:rsidRDefault="00B9129E" w:rsidP="00500555">
            <w:pPr>
              <w:pStyle w:val="NoSpacing"/>
            </w:pPr>
            <w:r>
              <w:rPr>
                <w:b/>
                <w:color w:val="FFFFFF" w:themeColor="background1"/>
              </w:rPr>
              <w:t xml:space="preserve">September </w:t>
            </w:r>
            <w:r w:rsidR="00500555">
              <w:rPr>
                <w:b/>
                <w:color w:val="FFFFFF" w:themeColor="background1"/>
              </w:rPr>
              <w:t xml:space="preserve">2022 </w:t>
            </w:r>
          </w:p>
        </w:tc>
      </w:tr>
    </w:tbl>
    <w:p w14:paraId="6C7CE946" w14:textId="77777777" w:rsidR="00C625B0" w:rsidRDefault="00C625B0" w:rsidP="00722685">
      <w:pPr>
        <w:pStyle w:val="NoSpacing"/>
      </w:pPr>
    </w:p>
    <w:p w14:paraId="0F0E10A7" w14:textId="77777777" w:rsidR="00C625B0" w:rsidRDefault="00C625B0" w:rsidP="00722685">
      <w:pPr>
        <w:pStyle w:val="NoSpacing"/>
      </w:pPr>
    </w:p>
    <w:p w14:paraId="29A191A3" w14:textId="77777777" w:rsidR="00C625B0" w:rsidRDefault="00C625B0" w:rsidP="00722685">
      <w:pPr>
        <w:pStyle w:val="NoSpacing"/>
      </w:pPr>
    </w:p>
    <w:p w14:paraId="365CF22E" w14:textId="77777777" w:rsidR="00C625B0" w:rsidRDefault="00C625B0" w:rsidP="00722685">
      <w:pPr>
        <w:pStyle w:val="NoSpacing"/>
      </w:pPr>
    </w:p>
    <w:p w14:paraId="26C3B1FE" w14:textId="77777777" w:rsidR="00C625B0" w:rsidRDefault="00C625B0" w:rsidP="00722685">
      <w:pPr>
        <w:pStyle w:val="NoSpacing"/>
      </w:pPr>
    </w:p>
    <w:p w14:paraId="3C902A9A" w14:textId="77777777" w:rsidR="00C625B0" w:rsidRDefault="00C625B0" w:rsidP="00722685">
      <w:pPr>
        <w:pStyle w:val="NoSpacing"/>
      </w:pPr>
    </w:p>
    <w:p w14:paraId="01BF1ACF" w14:textId="77777777" w:rsidR="00C625B0" w:rsidRDefault="00C625B0" w:rsidP="00722685">
      <w:pPr>
        <w:pStyle w:val="NoSpacing"/>
      </w:pPr>
    </w:p>
    <w:p w14:paraId="1B7427E8" w14:textId="77777777" w:rsidR="00C625B0" w:rsidRDefault="00C625B0" w:rsidP="00722685">
      <w:pPr>
        <w:pStyle w:val="NoSpacing"/>
      </w:pPr>
    </w:p>
    <w:p w14:paraId="522BA54E" w14:textId="77777777" w:rsidR="00C625B0" w:rsidRDefault="00C625B0" w:rsidP="00722685">
      <w:pPr>
        <w:pStyle w:val="NoSpacing"/>
      </w:pPr>
    </w:p>
    <w:p w14:paraId="6F7190C0" w14:textId="77777777" w:rsidR="00C625B0" w:rsidRDefault="00C625B0" w:rsidP="00722685">
      <w:pPr>
        <w:pStyle w:val="NoSpacing"/>
      </w:pPr>
    </w:p>
    <w:p w14:paraId="72CB19C5" w14:textId="77777777" w:rsidR="000D23AF" w:rsidRDefault="000D23AF" w:rsidP="00722685">
      <w:pPr>
        <w:pStyle w:val="NoSpacing"/>
      </w:pPr>
    </w:p>
    <w:p w14:paraId="74A89CDD" w14:textId="77777777" w:rsidR="00C625B0" w:rsidRDefault="00C625B0" w:rsidP="00722685">
      <w:pPr>
        <w:pStyle w:val="NoSpacing"/>
      </w:pPr>
    </w:p>
    <w:p w14:paraId="0396C5B2" w14:textId="77777777" w:rsidR="00C625B0" w:rsidRDefault="00C625B0" w:rsidP="00C625B0">
      <w:pPr>
        <w:pStyle w:val="NoSpacing"/>
        <w:jc w:val="right"/>
      </w:pPr>
    </w:p>
    <w:p w14:paraId="4A2AF76F" w14:textId="77777777" w:rsidR="006A5B50" w:rsidRDefault="006A5B50">
      <w:pPr>
        <w:rPr>
          <w:b/>
          <w:sz w:val="36"/>
        </w:rPr>
      </w:pPr>
      <w:r>
        <w:rPr>
          <w:b/>
          <w:sz w:val="36"/>
        </w:rPr>
        <w:br w:type="page"/>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5B1E6269" w14:textId="77777777" w:rsidR="00351BCA" w:rsidRDefault="00351BCA">
          <w:pPr>
            <w:pStyle w:val="TOCHeading"/>
          </w:pPr>
          <w:r>
            <w:t>Contents</w:t>
          </w:r>
        </w:p>
        <w:p w14:paraId="20215F2D" w14:textId="2134C0B9" w:rsidR="008E184F" w:rsidRDefault="00351BCA">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17514745" w:history="1">
            <w:r w:rsidR="008E184F" w:rsidRPr="000D5CC8">
              <w:rPr>
                <w:rStyle w:val="Hyperlink"/>
                <w:noProof/>
              </w:rPr>
              <w:t>Summary</w:t>
            </w:r>
            <w:r w:rsidR="008E184F">
              <w:rPr>
                <w:noProof/>
                <w:webHidden/>
              </w:rPr>
              <w:tab/>
            </w:r>
            <w:r w:rsidR="008E184F">
              <w:rPr>
                <w:noProof/>
                <w:webHidden/>
              </w:rPr>
              <w:fldChar w:fldCharType="begin"/>
            </w:r>
            <w:r w:rsidR="008E184F">
              <w:rPr>
                <w:noProof/>
                <w:webHidden/>
              </w:rPr>
              <w:instrText xml:space="preserve"> PAGEREF _Toc117514745 \h </w:instrText>
            </w:r>
            <w:r w:rsidR="008E184F">
              <w:rPr>
                <w:noProof/>
                <w:webHidden/>
              </w:rPr>
            </w:r>
            <w:r w:rsidR="008E184F">
              <w:rPr>
                <w:noProof/>
                <w:webHidden/>
              </w:rPr>
              <w:fldChar w:fldCharType="separate"/>
            </w:r>
            <w:r w:rsidR="008E184F">
              <w:rPr>
                <w:noProof/>
                <w:webHidden/>
              </w:rPr>
              <w:t>4</w:t>
            </w:r>
            <w:r w:rsidR="008E184F">
              <w:rPr>
                <w:noProof/>
                <w:webHidden/>
              </w:rPr>
              <w:fldChar w:fldCharType="end"/>
            </w:r>
          </w:hyperlink>
        </w:p>
        <w:p w14:paraId="1483DB5E" w14:textId="3258C9F6" w:rsidR="008E184F" w:rsidRDefault="001F5507">
          <w:pPr>
            <w:pStyle w:val="TOC1"/>
            <w:tabs>
              <w:tab w:val="right" w:leader="dot" w:pos="9016"/>
            </w:tabs>
            <w:rPr>
              <w:rFonts w:asciiTheme="minorHAnsi" w:eastAsiaTheme="minorEastAsia" w:hAnsiTheme="minorHAnsi"/>
              <w:noProof/>
              <w:sz w:val="22"/>
              <w:lang w:eastAsia="en-GB"/>
            </w:rPr>
          </w:pPr>
          <w:hyperlink w:anchor="_Toc117514747" w:history="1">
            <w:r w:rsidR="008E184F" w:rsidRPr="000D5CC8">
              <w:rPr>
                <w:rStyle w:val="Hyperlink"/>
                <w:noProof/>
              </w:rPr>
              <w:t>Glossary of Terms</w:t>
            </w:r>
            <w:r w:rsidR="008E184F">
              <w:rPr>
                <w:noProof/>
                <w:webHidden/>
              </w:rPr>
              <w:tab/>
            </w:r>
            <w:r w:rsidR="008E184F">
              <w:rPr>
                <w:noProof/>
                <w:webHidden/>
              </w:rPr>
              <w:fldChar w:fldCharType="begin"/>
            </w:r>
            <w:r w:rsidR="008E184F">
              <w:rPr>
                <w:noProof/>
                <w:webHidden/>
              </w:rPr>
              <w:instrText xml:space="preserve"> PAGEREF _Toc117514747 \h </w:instrText>
            </w:r>
            <w:r w:rsidR="008E184F">
              <w:rPr>
                <w:noProof/>
                <w:webHidden/>
              </w:rPr>
            </w:r>
            <w:r w:rsidR="008E184F">
              <w:rPr>
                <w:noProof/>
                <w:webHidden/>
              </w:rPr>
              <w:fldChar w:fldCharType="separate"/>
            </w:r>
            <w:r w:rsidR="008E184F">
              <w:rPr>
                <w:noProof/>
                <w:webHidden/>
              </w:rPr>
              <w:t>4</w:t>
            </w:r>
            <w:r w:rsidR="008E184F">
              <w:rPr>
                <w:noProof/>
                <w:webHidden/>
              </w:rPr>
              <w:fldChar w:fldCharType="end"/>
            </w:r>
          </w:hyperlink>
        </w:p>
        <w:p w14:paraId="21836271" w14:textId="2A2D9241" w:rsidR="008E184F" w:rsidRDefault="001F5507">
          <w:pPr>
            <w:pStyle w:val="TOC1"/>
            <w:tabs>
              <w:tab w:val="right" w:leader="dot" w:pos="9016"/>
            </w:tabs>
            <w:rPr>
              <w:rFonts w:asciiTheme="minorHAnsi" w:eastAsiaTheme="minorEastAsia" w:hAnsiTheme="minorHAnsi"/>
              <w:noProof/>
              <w:sz w:val="22"/>
              <w:lang w:eastAsia="en-GB"/>
            </w:rPr>
          </w:pPr>
          <w:hyperlink w:anchor="_Toc117514748" w:history="1">
            <w:r w:rsidR="008E184F" w:rsidRPr="000D5CC8">
              <w:rPr>
                <w:rStyle w:val="Hyperlink"/>
                <w:noProof/>
              </w:rPr>
              <w:t>Purpose</w:t>
            </w:r>
            <w:r w:rsidR="008E184F">
              <w:rPr>
                <w:noProof/>
                <w:webHidden/>
              </w:rPr>
              <w:tab/>
            </w:r>
            <w:r w:rsidR="008E184F">
              <w:rPr>
                <w:noProof/>
                <w:webHidden/>
              </w:rPr>
              <w:fldChar w:fldCharType="begin"/>
            </w:r>
            <w:r w:rsidR="008E184F">
              <w:rPr>
                <w:noProof/>
                <w:webHidden/>
              </w:rPr>
              <w:instrText xml:space="preserve"> PAGEREF _Toc117514748 \h </w:instrText>
            </w:r>
            <w:r w:rsidR="008E184F">
              <w:rPr>
                <w:noProof/>
                <w:webHidden/>
              </w:rPr>
            </w:r>
            <w:r w:rsidR="008E184F">
              <w:rPr>
                <w:noProof/>
                <w:webHidden/>
              </w:rPr>
              <w:fldChar w:fldCharType="separate"/>
            </w:r>
            <w:r w:rsidR="008E184F">
              <w:rPr>
                <w:noProof/>
                <w:webHidden/>
              </w:rPr>
              <w:t>5</w:t>
            </w:r>
            <w:r w:rsidR="008E184F">
              <w:rPr>
                <w:noProof/>
                <w:webHidden/>
              </w:rPr>
              <w:fldChar w:fldCharType="end"/>
            </w:r>
          </w:hyperlink>
        </w:p>
        <w:p w14:paraId="486452DB" w14:textId="5E5173AB" w:rsidR="008E184F" w:rsidRDefault="001F5507">
          <w:pPr>
            <w:pStyle w:val="TOC2"/>
            <w:tabs>
              <w:tab w:val="right" w:leader="dot" w:pos="9016"/>
            </w:tabs>
            <w:rPr>
              <w:rFonts w:asciiTheme="minorHAnsi" w:eastAsiaTheme="minorEastAsia" w:hAnsiTheme="minorHAnsi"/>
              <w:noProof/>
              <w:sz w:val="22"/>
              <w:lang w:eastAsia="en-GB"/>
            </w:rPr>
          </w:pPr>
          <w:hyperlink w:anchor="_Toc117514749" w:history="1">
            <w:r w:rsidR="008E184F" w:rsidRPr="000D5CC8">
              <w:rPr>
                <w:rStyle w:val="Hyperlink"/>
                <w:rFonts w:cs="Arial"/>
                <w:noProof/>
              </w:rPr>
              <w:t>Introduction</w:t>
            </w:r>
            <w:r w:rsidR="008E184F">
              <w:rPr>
                <w:noProof/>
                <w:webHidden/>
              </w:rPr>
              <w:tab/>
            </w:r>
            <w:r w:rsidR="008E184F">
              <w:rPr>
                <w:noProof/>
                <w:webHidden/>
              </w:rPr>
              <w:fldChar w:fldCharType="begin"/>
            </w:r>
            <w:r w:rsidR="008E184F">
              <w:rPr>
                <w:noProof/>
                <w:webHidden/>
              </w:rPr>
              <w:instrText xml:space="preserve"> PAGEREF _Toc117514749 \h </w:instrText>
            </w:r>
            <w:r w:rsidR="008E184F">
              <w:rPr>
                <w:noProof/>
                <w:webHidden/>
              </w:rPr>
            </w:r>
            <w:r w:rsidR="008E184F">
              <w:rPr>
                <w:noProof/>
                <w:webHidden/>
              </w:rPr>
              <w:fldChar w:fldCharType="separate"/>
            </w:r>
            <w:r w:rsidR="008E184F">
              <w:rPr>
                <w:noProof/>
                <w:webHidden/>
              </w:rPr>
              <w:t>6</w:t>
            </w:r>
            <w:r w:rsidR="008E184F">
              <w:rPr>
                <w:noProof/>
                <w:webHidden/>
              </w:rPr>
              <w:fldChar w:fldCharType="end"/>
            </w:r>
          </w:hyperlink>
        </w:p>
        <w:p w14:paraId="4BCB722D" w14:textId="7BD1E497" w:rsidR="008E184F" w:rsidRDefault="001F5507">
          <w:pPr>
            <w:pStyle w:val="TOC2"/>
            <w:tabs>
              <w:tab w:val="right" w:leader="dot" w:pos="9016"/>
            </w:tabs>
            <w:rPr>
              <w:rFonts w:asciiTheme="minorHAnsi" w:eastAsiaTheme="minorEastAsia" w:hAnsiTheme="minorHAnsi"/>
              <w:noProof/>
              <w:sz w:val="22"/>
              <w:lang w:eastAsia="en-GB"/>
            </w:rPr>
          </w:pPr>
          <w:hyperlink w:anchor="_Toc117514750" w:history="1">
            <w:r w:rsidR="008E184F" w:rsidRPr="000D5CC8">
              <w:rPr>
                <w:rStyle w:val="Hyperlink"/>
                <w:rFonts w:cs="Arial"/>
                <w:noProof/>
              </w:rPr>
              <w:t>Status of the Policy</w:t>
            </w:r>
            <w:r w:rsidR="008E184F">
              <w:rPr>
                <w:noProof/>
                <w:webHidden/>
              </w:rPr>
              <w:tab/>
            </w:r>
            <w:r w:rsidR="008E184F">
              <w:rPr>
                <w:noProof/>
                <w:webHidden/>
              </w:rPr>
              <w:fldChar w:fldCharType="begin"/>
            </w:r>
            <w:r w:rsidR="008E184F">
              <w:rPr>
                <w:noProof/>
                <w:webHidden/>
              </w:rPr>
              <w:instrText xml:space="preserve"> PAGEREF _Toc117514750 \h </w:instrText>
            </w:r>
            <w:r w:rsidR="008E184F">
              <w:rPr>
                <w:noProof/>
                <w:webHidden/>
              </w:rPr>
            </w:r>
            <w:r w:rsidR="008E184F">
              <w:rPr>
                <w:noProof/>
                <w:webHidden/>
              </w:rPr>
              <w:fldChar w:fldCharType="separate"/>
            </w:r>
            <w:r w:rsidR="008E184F">
              <w:rPr>
                <w:noProof/>
                <w:webHidden/>
              </w:rPr>
              <w:t>7</w:t>
            </w:r>
            <w:r w:rsidR="008E184F">
              <w:rPr>
                <w:noProof/>
                <w:webHidden/>
              </w:rPr>
              <w:fldChar w:fldCharType="end"/>
            </w:r>
          </w:hyperlink>
        </w:p>
        <w:p w14:paraId="56E80149" w14:textId="47F542ED" w:rsidR="008E184F" w:rsidRDefault="001F5507">
          <w:pPr>
            <w:pStyle w:val="TOC2"/>
            <w:tabs>
              <w:tab w:val="right" w:leader="dot" w:pos="9016"/>
            </w:tabs>
            <w:rPr>
              <w:rFonts w:asciiTheme="minorHAnsi" w:eastAsiaTheme="minorEastAsia" w:hAnsiTheme="minorHAnsi"/>
              <w:noProof/>
              <w:sz w:val="22"/>
              <w:lang w:eastAsia="en-GB"/>
            </w:rPr>
          </w:pPr>
          <w:hyperlink w:anchor="_Toc117514751" w:history="1">
            <w:r w:rsidR="008E184F" w:rsidRPr="000D5CC8">
              <w:rPr>
                <w:rStyle w:val="Hyperlink"/>
                <w:rFonts w:cs="Arial"/>
                <w:noProof/>
              </w:rPr>
              <w:t>Notification of Data Held and Processed</w:t>
            </w:r>
            <w:r w:rsidR="008E184F">
              <w:rPr>
                <w:noProof/>
                <w:webHidden/>
              </w:rPr>
              <w:tab/>
            </w:r>
            <w:r w:rsidR="008E184F">
              <w:rPr>
                <w:noProof/>
                <w:webHidden/>
              </w:rPr>
              <w:fldChar w:fldCharType="begin"/>
            </w:r>
            <w:r w:rsidR="008E184F">
              <w:rPr>
                <w:noProof/>
                <w:webHidden/>
              </w:rPr>
              <w:instrText xml:space="preserve"> PAGEREF _Toc117514751 \h </w:instrText>
            </w:r>
            <w:r w:rsidR="008E184F">
              <w:rPr>
                <w:noProof/>
                <w:webHidden/>
              </w:rPr>
            </w:r>
            <w:r w:rsidR="008E184F">
              <w:rPr>
                <w:noProof/>
                <w:webHidden/>
              </w:rPr>
              <w:fldChar w:fldCharType="separate"/>
            </w:r>
            <w:r w:rsidR="008E184F">
              <w:rPr>
                <w:noProof/>
                <w:webHidden/>
              </w:rPr>
              <w:t>7</w:t>
            </w:r>
            <w:r w:rsidR="008E184F">
              <w:rPr>
                <w:noProof/>
                <w:webHidden/>
              </w:rPr>
              <w:fldChar w:fldCharType="end"/>
            </w:r>
          </w:hyperlink>
        </w:p>
        <w:p w14:paraId="1D863EAA" w14:textId="677D47C8" w:rsidR="008E184F" w:rsidRDefault="001F5507">
          <w:pPr>
            <w:pStyle w:val="TOC2"/>
            <w:tabs>
              <w:tab w:val="right" w:leader="dot" w:pos="9016"/>
            </w:tabs>
            <w:rPr>
              <w:rFonts w:asciiTheme="minorHAnsi" w:eastAsiaTheme="minorEastAsia" w:hAnsiTheme="minorHAnsi"/>
              <w:noProof/>
              <w:sz w:val="22"/>
              <w:lang w:eastAsia="en-GB"/>
            </w:rPr>
          </w:pPr>
          <w:hyperlink w:anchor="_Toc117514752" w:history="1">
            <w:r w:rsidR="008E184F" w:rsidRPr="000D5CC8">
              <w:rPr>
                <w:rStyle w:val="Hyperlink"/>
                <w:rFonts w:cs="Arial"/>
                <w:noProof/>
              </w:rPr>
              <w:t>Responsibilities of Staff and Students</w:t>
            </w:r>
            <w:r w:rsidR="008E184F">
              <w:rPr>
                <w:noProof/>
                <w:webHidden/>
              </w:rPr>
              <w:tab/>
            </w:r>
            <w:r w:rsidR="008E184F">
              <w:rPr>
                <w:noProof/>
                <w:webHidden/>
              </w:rPr>
              <w:fldChar w:fldCharType="begin"/>
            </w:r>
            <w:r w:rsidR="008E184F">
              <w:rPr>
                <w:noProof/>
                <w:webHidden/>
              </w:rPr>
              <w:instrText xml:space="preserve"> PAGEREF _Toc117514752 \h </w:instrText>
            </w:r>
            <w:r w:rsidR="008E184F">
              <w:rPr>
                <w:noProof/>
                <w:webHidden/>
              </w:rPr>
            </w:r>
            <w:r w:rsidR="008E184F">
              <w:rPr>
                <w:noProof/>
                <w:webHidden/>
              </w:rPr>
              <w:fldChar w:fldCharType="separate"/>
            </w:r>
            <w:r w:rsidR="008E184F">
              <w:rPr>
                <w:noProof/>
                <w:webHidden/>
              </w:rPr>
              <w:t>8</w:t>
            </w:r>
            <w:r w:rsidR="008E184F">
              <w:rPr>
                <w:noProof/>
                <w:webHidden/>
              </w:rPr>
              <w:fldChar w:fldCharType="end"/>
            </w:r>
          </w:hyperlink>
        </w:p>
        <w:p w14:paraId="421EBDE0" w14:textId="6174E036" w:rsidR="008E184F" w:rsidRDefault="001F5507">
          <w:pPr>
            <w:pStyle w:val="TOC2"/>
            <w:tabs>
              <w:tab w:val="right" w:leader="dot" w:pos="9016"/>
            </w:tabs>
            <w:rPr>
              <w:rFonts w:asciiTheme="minorHAnsi" w:eastAsiaTheme="minorEastAsia" w:hAnsiTheme="minorHAnsi"/>
              <w:noProof/>
              <w:sz w:val="22"/>
              <w:lang w:eastAsia="en-GB"/>
            </w:rPr>
          </w:pPr>
          <w:hyperlink w:anchor="_Toc117514753" w:history="1">
            <w:r w:rsidR="008E184F" w:rsidRPr="000D5CC8">
              <w:rPr>
                <w:rStyle w:val="Hyperlink"/>
                <w:rFonts w:cs="Arial"/>
                <w:noProof/>
              </w:rPr>
              <w:t>Data Security</w:t>
            </w:r>
            <w:r w:rsidR="008E184F">
              <w:rPr>
                <w:noProof/>
                <w:webHidden/>
              </w:rPr>
              <w:tab/>
            </w:r>
            <w:r w:rsidR="008E184F">
              <w:rPr>
                <w:noProof/>
                <w:webHidden/>
              </w:rPr>
              <w:fldChar w:fldCharType="begin"/>
            </w:r>
            <w:r w:rsidR="008E184F">
              <w:rPr>
                <w:noProof/>
                <w:webHidden/>
              </w:rPr>
              <w:instrText xml:space="preserve"> PAGEREF _Toc117514753 \h </w:instrText>
            </w:r>
            <w:r w:rsidR="008E184F">
              <w:rPr>
                <w:noProof/>
                <w:webHidden/>
              </w:rPr>
            </w:r>
            <w:r w:rsidR="008E184F">
              <w:rPr>
                <w:noProof/>
                <w:webHidden/>
              </w:rPr>
              <w:fldChar w:fldCharType="separate"/>
            </w:r>
            <w:r w:rsidR="008E184F">
              <w:rPr>
                <w:noProof/>
                <w:webHidden/>
              </w:rPr>
              <w:t>8</w:t>
            </w:r>
            <w:r w:rsidR="008E184F">
              <w:rPr>
                <w:noProof/>
                <w:webHidden/>
              </w:rPr>
              <w:fldChar w:fldCharType="end"/>
            </w:r>
          </w:hyperlink>
        </w:p>
        <w:p w14:paraId="3067041B" w14:textId="6A3C4434" w:rsidR="008E184F" w:rsidRDefault="001F5507">
          <w:pPr>
            <w:pStyle w:val="TOC2"/>
            <w:tabs>
              <w:tab w:val="right" w:leader="dot" w:pos="9016"/>
            </w:tabs>
            <w:rPr>
              <w:rFonts w:asciiTheme="minorHAnsi" w:eastAsiaTheme="minorEastAsia" w:hAnsiTheme="minorHAnsi"/>
              <w:noProof/>
              <w:sz w:val="22"/>
              <w:lang w:eastAsia="en-GB"/>
            </w:rPr>
          </w:pPr>
          <w:hyperlink w:anchor="_Toc117514754" w:history="1">
            <w:r w:rsidR="008E184F" w:rsidRPr="000D5CC8">
              <w:rPr>
                <w:rStyle w:val="Hyperlink"/>
                <w:rFonts w:cs="Arial"/>
                <w:noProof/>
              </w:rPr>
              <w:t>Rights to Access Information</w:t>
            </w:r>
            <w:r w:rsidR="008E184F">
              <w:rPr>
                <w:noProof/>
                <w:webHidden/>
              </w:rPr>
              <w:tab/>
            </w:r>
            <w:r w:rsidR="008E184F">
              <w:rPr>
                <w:noProof/>
                <w:webHidden/>
              </w:rPr>
              <w:fldChar w:fldCharType="begin"/>
            </w:r>
            <w:r w:rsidR="008E184F">
              <w:rPr>
                <w:noProof/>
                <w:webHidden/>
              </w:rPr>
              <w:instrText xml:space="preserve"> PAGEREF _Toc117514754 \h </w:instrText>
            </w:r>
            <w:r w:rsidR="008E184F">
              <w:rPr>
                <w:noProof/>
                <w:webHidden/>
              </w:rPr>
            </w:r>
            <w:r w:rsidR="008E184F">
              <w:rPr>
                <w:noProof/>
                <w:webHidden/>
              </w:rPr>
              <w:fldChar w:fldCharType="separate"/>
            </w:r>
            <w:r w:rsidR="008E184F">
              <w:rPr>
                <w:noProof/>
                <w:webHidden/>
              </w:rPr>
              <w:t>9</w:t>
            </w:r>
            <w:r w:rsidR="008E184F">
              <w:rPr>
                <w:noProof/>
                <w:webHidden/>
              </w:rPr>
              <w:fldChar w:fldCharType="end"/>
            </w:r>
          </w:hyperlink>
        </w:p>
        <w:p w14:paraId="7B154F74" w14:textId="5504E56B" w:rsidR="008E184F" w:rsidRDefault="001F5507">
          <w:pPr>
            <w:pStyle w:val="TOC2"/>
            <w:tabs>
              <w:tab w:val="right" w:leader="dot" w:pos="9016"/>
            </w:tabs>
            <w:rPr>
              <w:rFonts w:asciiTheme="minorHAnsi" w:eastAsiaTheme="minorEastAsia" w:hAnsiTheme="minorHAnsi"/>
              <w:noProof/>
              <w:sz w:val="22"/>
              <w:lang w:eastAsia="en-GB"/>
            </w:rPr>
          </w:pPr>
          <w:hyperlink w:anchor="_Toc117514755" w:history="1">
            <w:r w:rsidR="008E184F" w:rsidRPr="000D5CC8">
              <w:rPr>
                <w:rStyle w:val="Hyperlink"/>
                <w:rFonts w:cs="Arial"/>
                <w:noProof/>
              </w:rPr>
              <w:t>Right to Erasure / Be Forgotten</w:t>
            </w:r>
            <w:r w:rsidR="008E184F">
              <w:rPr>
                <w:noProof/>
                <w:webHidden/>
              </w:rPr>
              <w:tab/>
            </w:r>
            <w:r w:rsidR="008E184F">
              <w:rPr>
                <w:noProof/>
                <w:webHidden/>
              </w:rPr>
              <w:fldChar w:fldCharType="begin"/>
            </w:r>
            <w:r w:rsidR="008E184F">
              <w:rPr>
                <w:noProof/>
                <w:webHidden/>
              </w:rPr>
              <w:instrText xml:space="preserve"> PAGEREF _Toc117514755 \h </w:instrText>
            </w:r>
            <w:r w:rsidR="008E184F">
              <w:rPr>
                <w:noProof/>
                <w:webHidden/>
              </w:rPr>
            </w:r>
            <w:r w:rsidR="008E184F">
              <w:rPr>
                <w:noProof/>
                <w:webHidden/>
              </w:rPr>
              <w:fldChar w:fldCharType="separate"/>
            </w:r>
            <w:r w:rsidR="008E184F">
              <w:rPr>
                <w:noProof/>
                <w:webHidden/>
              </w:rPr>
              <w:t>9</w:t>
            </w:r>
            <w:r w:rsidR="008E184F">
              <w:rPr>
                <w:noProof/>
                <w:webHidden/>
              </w:rPr>
              <w:fldChar w:fldCharType="end"/>
            </w:r>
          </w:hyperlink>
        </w:p>
        <w:p w14:paraId="7B961890" w14:textId="57D2C5BA" w:rsidR="008E184F" w:rsidRDefault="001F5507">
          <w:pPr>
            <w:pStyle w:val="TOC2"/>
            <w:tabs>
              <w:tab w:val="right" w:leader="dot" w:pos="9016"/>
            </w:tabs>
            <w:rPr>
              <w:rFonts w:asciiTheme="minorHAnsi" w:eastAsiaTheme="minorEastAsia" w:hAnsiTheme="minorHAnsi"/>
              <w:noProof/>
              <w:sz w:val="22"/>
              <w:lang w:eastAsia="en-GB"/>
            </w:rPr>
          </w:pPr>
          <w:hyperlink w:anchor="_Toc117514756" w:history="1">
            <w:r w:rsidR="008E184F" w:rsidRPr="000D5CC8">
              <w:rPr>
                <w:rStyle w:val="Hyperlink"/>
                <w:rFonts w:cs="Arial"/>
                <w:noProof/>
              </w:rPr>
              <w:t>Publication of University Information</w:t>
            </w:r>
            <w:r w:rsidR="008E184F">
              <w:rPr>
                <w:noProof/>
                <w:webHidden/>
              </w:rPr>
              <w:tab/>
            </w:r>
            <w:r w:rsidR="008E184F">
              <w:rPr>
                <w:noProof/>
                <w:webHidden/>
              </w:rPr>
              <w:fldChar w:fldCharType="begin"/>
            </w:r>
            <w:r w:rsidR="008E184F">
              <w:rPr>
                <w:noProof/>
                <w:webHidden/>
              </w:rPr>
              <w:instrText xml:space="preserve"> PAGEREF _Toc117514756 \h </w:instrText>
            </w:r>
            <w:r w:rsidR="008E184F">
              <w:rPr>
                <w:noProof/>
                <w:webHidden/>
              </w:rPr>
            </w:r>
            <w:r w:rsidR="008E184F">
              <w:rPr>
                <w:noProof/>
                <w:webHidden/>
              </w:rPr>
              <w:fldChar w:fldCharType="separate"/>
            </w:r>
            <w:r w:rsidR="008E184F">
              <w:rPr>
                <w:noProof/>
                <w:webHidden/>
              </w:rPr>
              <w:t>9</w:t>
            </w:r>
            <w:r w:rsidR="008E184F">
              <w:rPr>
                <w:noProof/>
                <w:webHidden/>
              </w:rPr>
              <w:fldChar w:fldCharType="end"/>
            </w:r>
          </w:hyperlink>
        </w:p>
        <w:p w14:paraId="48393D3B" w14:textId="6097AEA3" w:rsidR="008E184F" w:rsidRDefault="001F5507">
          <w:pPr>
            <w:pStyle w:val="TOC2"/>
            <w:tabs>
              <w:tab w:val="right" w:leader="dot" w:pos="9016"/>
            </w:tabs>
            <w:rPr>
              <w:rFonts w:asciiTheme="minorHAnsi" w:eastAsiaTheme="minorEastAsia" w:hAnsiTheme="minorHAnsi"/>
              <w:noProof/>
              <w:sz w:val="22"/>
              <w:lang w:eastAsia="en-GB"/>
            </w:rPr>
          </w:pPr>
          <w:hyperlink w:anchor="_Toc117514757" w:history="1">
            <w:r w:rsidR="008E184F" w:rsidRPr="000D5CC8">
              <w:rPr>
                <w:rStyle w:val="Hyperlink"/>
                <w:rFonts w:cs="Arial"/>
                <w:noProof/>
              </w:rPr>
              <w:t>Personal Research Data</w:t>
            </w:r>
            <w:r w:rsidR="008E184F">
              <w:rPr>
                <w:noProof/>
                <w:webHidden/>
              </w:rPr>
              <w:tab/>
            </w:r>
            <w:r w:rsidR="008E184F">
              <w:rPr>
                <w:noProof/>
                <w:webHidden/>
              </w:rPr>
              <w:fldChar w:fldCharType="begin"/>
            </w:r>
            <w:r w:rsidR="008E184F">
              <w:rPr>
                <w:noProof/>
                <w:webHidden/>
              </w:rPr>
              <w:instrText xml:space="preserve"> PAGEREF _Toc117514757 \h </w:instrText>
            </w:r>
            <w:r w:rsidR="008E184F">
              <w:rPr>
                <w:noProof/>
                <w:webHidden/>
              </w:rPr>
            </w:r>
            <w:r w:rsidR="008E184F">
              <w:rPr>
                <w:noProof/>
                <w:webHidden/>
              </w:rPr>
              <w:fldChar w:fldCharType="separate"/>
            </w:r>
            <w:r w:rsidR="008E184F">
              <w:rPr>
                <w:noProof/>
                <w:webHidden/>
              </w:rPr>
              <w:t>9</w:t>
            </w:r>
            <w:r w:rsidR="008E184F">
              <w:rPr>
                <w:noProof/>
                <w:webHidden/>
              </w:rPr>
              <w:fldChar w:fldCharType="end"/>
            </w:r>
          </w:hyperlink>
        </w:p>
        <w:p w14:paraId="56EED015" w14:textId="27D3B4DD" w:rsidR="008E184F" w:rsidRDefault="001F5507">
          <w:pPr>
            <w:pStyle w:val="TOC2"/>
            <w:tabs>
              <w:tab w:val="right" w:leader="dot" w:pos="9016"/>
            </w:tabs>
            <w:rPr>
              <w:rFonts w:asciiTheme="minorHAnsi" w:eastAsiaTheme="minorEastAsia" w:hAnsiTheme="minorHAnsi"/>
              <w:noProof/>
              <w:sz w:val="22"/>
              <w:lang w:eastAsia="en-GB"/>
            </w:rPr>
          </w:pPr>
          <w:hyperlink w:anchor="_Toc117514758" w:history="1">
            <w:r w:rsidR="008E184F" w:rsidRPr="000D5CC8">
              <w:rPr>
                <w:rStyle w:val="Hyperlink"/>
                <w:rFonts w:cs="Arial"/>
                <w:noProof/>
              </w:rPr>
              <w:t>Subject Consent</w:t>
            </w:r>
            <w:r w:rsidR="008E184F">
              <w:rPr>
                <w:noProof/>
                <w:webHidden/>
              </w:rPr>
              <w:tab/>
            </w:r>
            <w:r w:rsidR="008E184F">
              <w:rPr>
                <w:noProof/>
                <w:webHidden/>
              </w:rPr>
              <w:fldChar w:fldCharType="begin"/>
            </w:r>
            <w:r w:rsidR="008E184F">
              <w:rPr>
                <w:noProof/>
                <w:webHidden/>
              </w:rPr>
              <w:instrText xml:space="preserve"> PAGEREF _Toc117514758 \h </w:instrText>
            </w:r>
            <w:r w:rsidR="008E184F">
              <w:rPr>
                <w:noProof/>
                <w:webHidden/>
              </w:rPr>
            </w:r>
            <w:r w:rsidR="008E184F">
              <w:rPr>
                <w:noProof/>
                <w:webHidden/>
              </w:rPr>
              <w:fldChar w:fldCharType="separate"/>
            </w:r>
            <w:r w:rsidR="008E184F">
              <w:rPr>
                <w:noProof/>
                <w:webHidden/>
              </w:rPr>
              <w:t>10</w:t>
            </w:r>
            <w:r w:rsidR="008E184F">
              <w:rPr>
                <w:noProof/>
                <w:webHidden/>
              </w:rPr>
              <w:fldChar w:fldCharType="end"/>
            </w:r>
          </w:hyperlink>
        </w:p>
        <w:p w14:paraId="22B192B1" w14:textId="09EE9615" w:rsidR="008E184F" w:rsidRDefault="001F5507">
          <w:pPr>
            <w:pStyle w:val="TOC2"/>
            <w:tabs>
              <w:tab w:val="right" w:leader="dot" w:pos="9016"/>
            </w:tabs>
            <w:rPr>
              <w:rFonts w:asciiTheme="minorHAnsi" w:eastAsiaTheme="minorEastAsia" w:hAnsiTheme="minorHAnsi"/>
              <w:noProof/>
              <w:sz w:val="22"/>
              <w:lang w:eastAsia="en-GB"/>
            </w:rPr>
          </w:pPr>
          <w:hyperlink w:anchor="_Toc117514759" w:history="1">
            <w:r w:rsidR="008E184F" w:rsidRPr="000D5CC8">
              <w:rPr>
                <w:rStyle w:val="Hyperlink"/>
                <w:rFonts w:cs="Arial"/>
                <w:noProof/>
              </w:rPr>
              <w:t>Retention of Data</w:t>
            </w:r>
            <w:r w:rsidR="008E184F">
              <w:rPr>
                <w:noProof/>
                <w:webHidden/>
              </w:rPr>
              <w:tab/>
            </w:r>
            <w:r w:rsidR="008E184F">
              <w:rPr>
                <w:noProof/>
                <w:webHidden/>
              </w:rPr>
              <w:fldChar w:fldCharType="begin"/>
            </w:r>
            <w:r w:rsidR="008E184F">
              <w:rPr>
                <w:noProof/>
                <w:webHidden/>
              </w:rPr>
              <w:instrText xml:space="preserve"> PAGEREF _Toc117514759 \h </w:instrText>
            </w:r>
            <w:r w:rsidR="008E184F">
              <w:rPr>
                <w:noProof/>
                <w:webHidden/>
              </w:rPr>
            </w:r>
            <w:r w:rsidR="008E184F">
              <w:rPr>
                <w:noProof/>
                <w:webHidden/>
              </w:rPr>
              <w:fldChar w:fldCharType="separate"/>
            </w:r>
            <w:r w:rsidR="008E184F">
              <w:rPr>
                <w:noProof/>
                <w:webHidden/>
              </w:rPr>
              <w:t>10</w:t>
            </w:r>
            <w:r w:rsidR="008E184F">
              <w:rPr>
                <w:noProof/>
                <w:webHidden/>
              </w:rPr>
              <w:fldChar w:fldCharType="end"/>
            </w:r>
          </w:hyperlink>
        </w:p>
        <w:p w14:paraId="11555AB5" w14:textId="6F82DC1F" w:rsidR="008E184F" w:rsidRDefault="001F5507">
          <w:pPr>
            <w:pStyle w:val="TOC2"/>
            <w:tabs>
              <w:tab w:val="right" w:leader="dot" w:pos="9016"/>
            </w:tabs>
            <w:rPr>
              <w:rFonts w:asciiTheme="minorHAnsi" w:eastAsiaTheme="minorEastAsia" w:hAnsiTheme="minorHAnsi"/>
              <w:noProof/>
              <w:sz w:val="22"/>
              <w:lang w:eastAsia="en-GB"/>
            </w:rPr>
          </w:pPr>
          <w:hyperlink w:anchor="_Toc117514760" w:history="1">
            <w:r w:rsidR="008E184F" w:rsidRPr="000D5CC8">
              <w:rPr>
                <w:rStyle w:val="Hyperlink"/>
                <w:rFonts w:cs="Arial"/>
                <w:noProof/>
              </w:rPr>
              <w:t>Edge Hill Student Union</w:t>
            </w:r>
            <w:r w:rsidR="008E184F">
              <w:rPr>
                <w:noProof/>
                <w:webHidden/>
              </w:rPr>
              <w:tab/>
            </w:r>
            <w:r w:rsidR="008E184F">
              <w:rPr>
                <w:noProof/>
                <w:webHidden/>
              </w:rPr>
              <w:fldChar w:fldCharType="begin"/>
            </w:r>
            <w:r w:rsidR="008E184F">
              <w:rPr>
                <w:noProof/>
                <w:webHidden/>
              </w:rPr>
              <w:instrText xml:space="preserve"> PAGEREF _Toc117514760 \h </w:instrText>
            </w:r>
            <w:r w:rsidR="008E184F">
              <w:rPr>
                <w:noProof/>
                <w:webHidden/>
              </w:rPr>
            </w:r>
            <w:r w:rsidR="008E184F">
              <w:rPr>
                <w:noProof/>
                <w:webHidden/>
              </w:rPr>
              <w:fldChar w:fldCharType="separate"/>
            </w:r>
            <w:r w:rsidR="008E184F">
              <w:rPr>
                <w:noProof/>
                <w:webHidden/>
              </w:rPr>
              <w:t>10</w:t>
            </w:r>
            <w:r w:rsidR="008E184F">
              <w:rPr>
                <w:noProof/>
                <w:webHidden/>
              </w:rPr>
              <w:fldChar w:fldCharType="end"/>
            </w:r>
          </w:hyperlink>
        </w:p>
        <w:p w14:paraId="12859365" w14:textId="6BE79FD8" w:rsidR="008E184F" w:rsidRDefault="001F5507">
          <w:pPr>
            <w:pStyle w:val="TOC2"/>
            <w:tabs>
              <w:tab w:val="right" w:leader="dot" w:pos="9016"/>
            </w:tabs>
            <w:rPr>
              <w:rFonts w:asciiTheme="minorHAnsi" w:eastAsiaTheme="minorEastAsia" w:hAnsiTheme="minorHAnsi"/>
              <w:noProof/>
              <w:sz w:val="22"/>
              <w:lang w:eastAsia="en-GB"/>
            </w:rPr>
          </w:pPr>
          <w:hyperlink w:anchor="_Toc117514761" w:history="1">
            <w:r w:rsidR="008E184F" w:rsidRPr="000D5CC8">
              <w:rPr>
                <w:rStyle w:val="Hyperlink"/>
                <w:rFonts w:cs="Arial"/>
                <w:noProof/>
              </w:rPr>
              <w:t>Use of CCTV</w:t>
            </w:r>
            <w:r w:rsidR="008E184F">
              <w:rPr>
                <w:noProof/>
                <w:webHidden/>
              </w:rPr>
              <w:tab/>
            </w:r>
            <w:r w:rsidR="008E184F">
              <w:rPr>
                <w:noProof/>
                <w:webHidden/>
              </w:rPr>
              <w:fldChar w:fldCharType="begin"/>
            </w:r>
            <w:r w:rsidR="008E184F">
              <w:rPr>
                <w:noProof/>
                <w:webHidden/>
              </w:rPr>
              <w:instrText xml:space="preserve"> PAGEREF _Toc117514761 \h </w:instrText>
            </w:r>
            <w:r w:rsidR="008E184F">
              <w:rPr>
                <w:noProof/>
                <w:webHidden/>
              </w:rPr>
            </w:r>
            <w:r w:rsidR="008E184F">
              <w:rPr>
                <w:noProof/>
                <w:webHidden/>
              </w:rPr>
              <w:fldChar w:fldCharType="separate"/>
            </w:r>
            <w:r w:rsidR="008E184F">
              <w:rPr>
                <w:noProof/>
                <w:webHidden/>
              </w:rPr>
              <w:t>10</w:t>
            </w:r>
            <w:r w:rsidR="008E184F">
              <w:rPr>
                <w:noProof/>
                <w:webHidden/>
              </w:rPr>
              <w:fldChar w:fldCharType="end"/>
            </w:r>
          </w:hyperlink>
        </w:p>
        <w:p w14:paraId="297441AA" w14:textId="7995F715" w:rsidR="008E184F" w:rsidRDefault="001F5507">
          <w:pPr>
            <w:pStyle w:val="TOC2"/>
            <w:tabs>
              <w:tab w:val="right" w:leader="dot" w:pos="9016"/>
            </w:tabs>
            <w:rPr>
              <w:rFonts w:asciiTheme="minorHAnsi" w:eastAsiaTheme="minorEastAsia" w:hAnsiTheme="minorHAnsi"/>
              <w:noProof/>
              <w:sz w:val="22"/>
              <w:lang w:eastAsia="en-GB"/>
            </w:rPr>
          </w:pPr>
          <w:hyperlink w:anchor="_Toc117514762" w:history="1">
            <w:r w:rsidR="008E184F" w:rsidRPr="000D5CC8">
              <w:rPr>
                <w:rStyle w:val="Hyperlink"/>
                <w:rFonts w:cs="Arial"/>
                <w:noProof/>
              </w:rPr>
              <w:t>Notification to the Information Commissioner’s Office (ICO)</w:t>
            </w:r>
            <w:r w:rsidR="008E184F">
              <w:rPr>
                <w:noProof/>
                <w:webHidden/>
              </w:rPr>
              <w:tab/>
            </w:r>
            <w:r w:rsidR="008E184F">
              <w:rPr>
                <w:noProof/>
                <w:webHidden/>
              </w:rPr>
              <w:fldChar w:fldCharType="begin"/>
            </w:r>
            <w:r w:rsidR="008E184F">
              <w:rPr>
                <w:noProof/>
                <w:webHidden/>
              </w:rPr>
              <w:instrText xml:space="preserve"> PAGEREF _Toc117514762 \h </w:instrText>
            </w:r>
            <w:r w:rsidR="008E184F">
              <w:rPr>
                <w:noProof/>
                <w:webHidden/>
              </w:rPr>
            </w:r>
            <w:r w:rsidR="008E184F">
              <w:rPr>
                <w:noProof/>
                <w:webHidden/>
              </w:rPr>
              <w:fldChar w:fldCharType="separate"/>
            </w:r>
            <w:r w:rsidR="008E184F">
              <w:rPr>
                <w:noProof/>
                <w:webHidden/>
              </w:rPr>
              <w:t>10</w:t>
            </w:r>
            <w:r w:rsidR="008E184F">
              <w:rPr>
                <w:noProof/>
                <w:webHidden/>
              </w:rPr>
              <w:fldChar w:fldCharType="end"/>
            </w:r>
          </w:hyperlink>
        </w:p>
        <w:p w14:paraId="6C07E488" w14:textId="4114DB78" w:rsidR="008E184F" w:rsidRDefault="001F5507">
          <w:pPr>
            <w:pStyle w:val="TOC2"/>
            <w:tabs>
              <w:tab w:val="right" w:leader="dot" w:pos="9016"/>
            </w:tabs>
            <w:rPr>
              <w:rFonts w:asciiTheme="minorHAnsi" w:eastAsiaTheme="minorEastAsia" w:hAnsiTheme="minorHAnsi"/>
              <w:noProof/>
              <w:sz w:val="22"/>
              <w:lang w:eastAsia="en-GB"/>
            </w:rPr>
          </w:pPr>
          <w:hyperlink w:anchor="_Toc117514763" w:history="1">
            <w:r w:rsidR="008E184F" w:rsidRPr="000D5CC8">
              <w:rPr>
                <w:rStyle w:val="Hyperlink"/>
                <w:rFonts w:cs="Arial"/>
                <w:noProof/>
              </w:rPr>
              <w:t>Data Breach Notification</w:t>
            </w:r>
            <w:r w:rsidR="008E184F">
              <w:rPr>
                <w:noProof/>
                <w:webHidden/>
              </w:rPr>
              <w:tab/>
            </w:r>
            <w:r w:rsidR="008E184F">
              <w:rPr>
                <w:noProof/>
                <w:webHidden/>
              </w:rPr>
              <w:fldChar w:fldCharType="begin"/>
            </w:r>
            <w:r w:rsidR="008E184F">
              <w:rPr>
                <w:noProof/>
                <w:webHidden/>
              </w:rPr>
              <w:instrText xml:space="preserve"> PAGEREF _Toc117514763 \h </w:instrText>
            </w:r>
            <w:r w:rsidR="008E184F">
              <w:rPr>
                <w:noProof/>
                <w:webHidden/>
              </w:rPr>
            </w:r>
            <w:r w:rsidR="008E184F">
              <w:rPr>
                <w:noProof/>
                <w:webHidden/>
              </w:rPr>
              <w:fldChar w:fldCharType="separate"/>
            </w:r>
            <w:r w:rsidR="008E184F">
              <w:rPr>
                <w:noProof/>
                <w:webHidden/>
              </w:rPr>
              <w:t>11</w:t>
            </w:r>
            <w:r w:rsidR="008E184F">
              <w:rPr>
                <w:noProof/>
                <w:webHidden/>
              </w:rPr>
              <w:fldChar w:fldCharType="end"/>
            </w:r>
          </w:hyperlink>
        </w:p>
        <w:p w14:paraId="05D72414" w14:textId="214B0A4C" w:rsidR="008E184F" w:rsidRDefault="001F5507">
          <w:pPr>
            <w:pStyle w:val="TOC2"/>
            <w:tabs>
              <w:tab w:val="right" w:leader="dot" w:pos="9016"/>
            </w:tabs>
            <w:rPr>
              <w:rFonts w:asciiTheme="minorHAnsi" w:eastAsiaTheme="minorEastAsia" w:hAnsiTheme="minorHAnsi"/>
              <w:noProof/>
              <w:sz w:val="22"/>
              <w:lang w:eastAsia="en-GB"/>
            </w:rPr>
          </w:pPr>
          <w:hyperlink w:anchor="_Toc117514764" w:history="1">
            <w:r w:rsidR="008E184F" w:rsidRPr="000D5CC8">
              <w:rPr>
                <w:rStyle w:val="Hyperlink"/>
                <w:rFonts w:cs="Arial"/>
                <w:noProof/>
              </w:rPr>
              <w:t>Legitimate Interests</w:t>
            </w:r>
            <w:r w:rsidR="008E184F">
              <w:rPr>
                <w:noProof/>
                <w:webHidden/>
              </w:rPr>
              <w:tab/>
            </w:r>
            <w:r w:rsidR="008E184F">
              <w:rPr>
                <w:noProof/>
                <w:webHidden/>
              </w:rPr>
              <w:fldChar w:fldCharType="begin"/>
            </w:r>
            <w:r w:rsidR="008E184F">
              <w:rPr>
                <w:noProof/>
                <w:webHidden/>
              </w:rPr>
              <w:instrText xml:space="preserve"> PAGEREF _Toc117514764 \h </w:instrText>
            </w:r>
            <w:r w:rsidR="008E184F">
              <w:rPr>
                <w:noProof/>
                <w:webHidden/>
              </w:rPr>
            </w:r>
            <w:r w:rsidR="008E184F">
              <w:rPr>
                <w:noProof/>
                <w:webHidden/>
              </w:rPr>
              <w:fldChar w:fldCharType="separate"/>
            </w:r>
            <w:r w:rsidR="008E184F">
              <w:rPr>
                <w:noProof/>
                <w:webHidden/>
              </w:rPr>
              <w:t>11</w:t>
            </w:r>
            <w:r w:rsidR="008E184F">
              <w:rPr>
                <w:noProof/>
                <w:webHidden/>
              </w:rPr>
              <w:fldChar w:fldCharType="end"/>
            </w:r>
          </w:hyperlink>
        </w:p>
        <w:p w14:paraId="298FD1AF" w14:textId="6B740F8D" w:rsidR="008E184F" w:rsidRDefault="001F5507">
          <w:pPr>
            <w:pStyle w:val="TOC2"/>
            <w:tabs>
              <w:tab w:val="right" w:leader="dot" w:pos="9016"/>
            </w:tabs>
            <w:rPr>
              <w:rFonts w:asciiTheme="minorHAnsi" w:eastAsiaTheme="minorEastAsia" w:hAnsiTheme="minorHAnsi"/>
              <w:noProof/>
              <w:sz w:val="22"/>
              <w:lang w:eastAsia="en-GB"/>
            </w:rPr>
          </w:pPr>
          <w:hyperlink w:anchor="_Toc117514765" w:history="1">
            <w:r w:rsidR="008E184F" w:rsidRPr="000D5CC8">
              <w:rPr>
                <w:rStyle w:val="Hyperlink"/>
                <w:rFonts w:cs="Arial"/>
                <w:noProof/>
              </w:rPr>
              <w:t>Third Party Providers</w:t>
            </w:r>
            <w:r w:rsidR="008E184F">
              <w:rPr>
                <w:noProof/>
                <w:webHidden/>
              </w:rPr>
              <w:tab/>
            </w:r>
            <w:r w:rsidR="008E184F">
              <w:rPr>
                <w:noProof/>
                <w:webHidden/>
              </w:rPr>
              <w:fldChar w:fldCharType="begin"/>
            </w:r>
            <w:r w:rsidR="008E184F">
              <w:rPr>
                <w:noProof/>
                <w:webHidden/>
              </w:rPr>
              <w:instrText xml:space="preserve"> PAGEREF _Toc117514765 \h </w:instrText>
            </w:r>
            <w:r w:rsidR="008E184F">
              <w:rPr>
                <w:noProof/>
                <w:webHidden/>
              </w:rPr>
            </w:r>
            <w:r w:rsidR="008E184F">
              <w:rPr>
                <w:noProof/>
                <w:webHidden/>
              </w:rPr>
              <w:fldChar w:fldCharType="separate"/>
            </w:r>
            <w:r w:rsidR="008E184F">
              <w:rPr>
                <w:noProof/>
                <w:webHidden/>
              </w:rPr>
              <w:t>12</w:t>
            </w:r>
            <w:r w:rsidR="008E184F">
              <w:rPr>
                <w:noProof/>
                <w:webHidden/>
              </w:rPr>
              <w:fldChar w:fldCharType="end"/>
            </w:r>
          </w:hyperlink>
        </w:p>
        <w:p w14:paraId="0D6BE5D1" w14:textId="09E15C4D" w:rsidR="008E184F" w:rsidRDefault="001F5507">
          <w:pPr>
            <w:pStyle w:val="TOC2"/>
            <w:tabs>
              <w:tab w:val="right" w:leader="dot" w:pos="9016"/>
            </w:tabs>
            <w:rPr>
              <w:rFonts w:asciiTheme="minorHAnsi" w:eastAsiaTheme="minorEastAsia" w:hAnsiTheme="minorHAnsi"/>
              <w:noProof/>
              <w:sz w:val="22"/>
              <w:lang w:eastAsia="en-GB"/>
            </w:rPr>
          </w:pPr>
          <w:hyperlink w:anchor="_Toc117514766" w:history="1">
            <w:r w:rsidR="008E184F" w:rsidRPr="000D5CC8">
              <w:rPr>
                <w:rStyle w:val="Hyperlink"/>
                <w:rFonts w:cs="Arial"/>
                <w:noProof/>
              </w:rPr>
              <w:t>The University's Designated Data Controller</w:t>
            </w:r>
            <w:r w:rsidR="008E184F">
              <w:rPr>
                <w:noProof/>
                <w:webHidden/>
              </w:rPr>
              <w:tab/>
            </w:r>
            <w:r w:rsidR="008E184F">
              <w:rPr>
                <w:noProof/>
                <w:webHidden/>
              </w:rPr>
              <w:fldChar w:fldCharType="begin"/>
            </w:r>
            <w:r w:rsidR="008E184F">
              <w:rPr>
                <w:noProof/>
                <w:webHidden/>
              </w:rPr>
              <w:instrText xml:space="preserve"> PAGEREF _Toc117514766 \h </w:instrText>
            </w:r>
            <w:r w:rsidR="008E184F">
              <w:rPr>
                <w:noProof/>
                <w:webHidden/>
              </w:rPr>
            </w:r>
            <w:r w:rsidR="008E184F">
              <w:rPr>
                <w:noProof/>
                <w:webHidden/>
              </w:rPr>
              <w:fldChar w:fldCharType="separate"/>
            </w:r>
            <w:r w:rsidR="008E184F">
              <w:rPr>
                <w:noProof/>
                <w:webHidden/>
              </w:rPr>
              <w:t>12</w:t>
            </w:r>
            <w:r w:rsidR="008E184F">
              <w:rPr>
                <w:noProof/>
                <w:webHidden/>
              </w:rPr>
              <w:fldChar w:fldCharType="end"/>
            </w:r>
          </w:hyperlink>
        </w:p>
        <w:p w14:paraId="7F5C4216" w14:textId="3758D761" w:rsidR="008E184F" w:rsidRDefault="001F5507">
          <w:pPr>
            <w:pStyle w:val="TOC2"/>
            <w:tabs>
              <w:tab w:val="right" w:leader="dot" w:pos="9016"/>
            </w:tabs>
            <w:rPr>
              <w:rFonts w:asciiTheme="minorHAnsi" w:eastAsiaTheme="minorEastAsia" w:hAnsiTheme="minorHAnsi"/>
              <w:noProof/>
              <w:sz w:val="22"/>
              <w:lang w:eastAsia="en-GB"/>
            </w:rPr>
          </w:pPr>
          <w:hyperlink w:anchor="_Toc117514767" w:history="1">
            <w:r w:rsidR="008E184F" w:rsidRPr="000D5CC8">
              <w:rPr>
                <w:rStyle w:val="Hyperlink"/>
                <w:rFonts w:cs="Arial"/>
                <w:noProof/>
              </w:rPr>
              <w:t>Annexes</w:t>
            </w:r>
            <w:r w:rsidR="008E184F">
              <w:rPr>
                <w:noProof/>
                <w:webHidden/>
              </w:rPr>
              <w:tab/>
            </w:r>
            <w:r w:rsidR="008E184F">
              <w:rPr>
                <w:noProof/>
                <w:webHidden/>
              </w:rPr>
              <w:fldChar w:fldCharType="begin"/>
            </w:r>
            <w:r w:rsidR="008E184F">
              <w:rPr>
                <w:noProof/>
                <w:webHidden/>
              </w:rPr>
              <w:instrText xml:space="preserve"> PAGEREF _Toc117514767 \h </w:instrText>
            </w:r>
            <w:r w:rsidR="008E184F">
              <w:rPr>
                <w:noProof/>
                <w:webHidden/>
              </w:rPr>
            </w:r>
            <w:r w:rsidR="008E184F">
              <w:rPr>
                <w:noProof/>
                <w:webHidden/>
              </w:rPr>
              <w:fldChar w:fldCharType="separate"/>
            </w:r>
            <w:r w:rsidR="008E184F">
              <w:rPr>
                <w:noProof/>
                <w:webHidden/>
              </w:rPr>
              <w:t>13</w:t>
            </w:r>
            <w:r w:rsidR="008E184F">
              <w:rPr>
                <w:noProof/>
                <w:webHidden/>
              </w:rPr>
              <w:fldChar w:fldCharType="end"/>
            </w:r>
          </w:hyperlink>
        </w:p>
        <w:p w14:paraId="11604AEB" w14:textId="023B30D9" w:rsidR="008E184F" w:rsidRDefault="001F5507">
          <w:pPr>
            <w:pStyle w:val="TOC3"/>
            <w:tabs>
              <w:tab w:val="right" w:leader="dot" w:pos="9016"/>
            </w:tabs>
            <w:rPr>
              <w:rFonts w:asciiTheme="minorHAnsi" w:eastAsiaTheme="minorEastAsia" w:hAnsiTheme="minorHAnsi"/>
              <w:noProof/>
              <w:sz w:val="22"/>
              <w:lang w:eastAsia="en-GB"/>
            </w:rPr>
          </w:pPr>
          <w:hyperlink w:anchor="_Toc117514768" w:history="1">
            <w:r w:rsidR="008E184F" w:rsidRPr="000D5CC8">
              <w:rPr>
                <w:rStyle w:val="Hyperlink"/>
                <w:rFonts w:cs="Arial"/>
                <w:noProof/>
              </w:rPr>
              <w:t>Data Breach Report Form</w:t>
            </w:r>
            <w:r w:rsidR="008E184F">
              <w:rPr>
                <w:noProof/>
                <w:webHidden/>
              </w:rPr>
              <w:tab/>
            </w:r>
            <w:r w:rsidR="008E184F">
              <w:rPr>
                <w:noProof/>
                <w:webHidden/>
              </w:rPr>
              <w:fldChar w:fldCharType="begin"/>
            </w:r>
            <w:r w:rsidR="008E184F">
              <w:rPr>
                <w:noProof/>
                <w:webHidden/>
              </w:rPr>
              <w:instrText xml:space="preserve"> PAGEREF _Toc117514768 \h </w:instrText>
            </w:r>
            <w:r w:rsidR="008E184F">
              <w:rPr>
                <w:noProof/>
                <w:webHidden/>
              </w:rPr>
            </w:r>
            <w:r w:rsidR="008E184F">
              <w:rPr>
                <w:noProof/>
                <w:webHidden/>
              </w:rPr>
              <w:fldChar w:fldCharType="separate"/>
            </w:r>
            <w:r w:rsidR="008E184F">
              <w:rPr>
                <w:noProof/>
                <w:webHidden/>
              </w:rPr>
              <w:t>13</w:t>
            </w:r>
            <w:r w:rsidR="008E184F">
              <w:rPr>
                <w:noProof/>
                <w:webHidden/>
              </w:rPr>
              <w:fldChar w:fldCharType="end"/>
            </w:r>
          </w:hyperlink>
        </w:p>
        <w:p w14:paraId="3626D5D7" w14:textId="44F33CDD" w:rsidR="008E184F" w:rsidRDefault="001F5507">
          <w:pPr>
            <w:pStyle w:val="TOC1"/>
            <w:tabs>
              <w:tab w:val="right" w:leader="dot" w:pos="9016"/>
            </w:tabs>
            <w:rPr>
              <w:rFonts w:asciiTheme="minorHAnsi" w:eastAsiaTheme="minorEastAsia" w:hAnsiTheme="minorHAnsi"/>
              <w:noProof/>
              <w:sz w:val="22"/>
              <w:lang w:eastAsia="en-GB"/>
            </w:rPr>
          </w:pPr>
          <w:hyperlink w:anchor="_Toc117514769" w:history="1">
            <w:r w:rsidR="008E184F" w:rsidRPr="000D5CC8">
              <w:rPr>
                <w:rStyle w:val="Hyperlink"/>
                <w:rFonts w:cs="Arial"/>
                <w:noProof/>
              </w:rPr>
              <w:t>Change History Record</w:t>
            </w:r>
            <w:r w:rsidR="008E184F">
              <w:rPr>
                <w:noProof/>
                <w:webHidden/>
              </w:rPr>
              <w:tab/>
            </w:r>
            <w:r w:rsidR="008E184F">
              <w:rPr>
                <w:noProof/>
                <w:webHidden/>
              </w:rPr>
              <w:fldChar w:fldCharType="begin"/>
            </w:r>
            <w:r w:rsidR="008E184F">
              <w:rPr>
                <w:noProof/>
                <w:webHidden/>
              </w:rPr>
              <w:instrText xml:space="preserve"> PAGEREF _Toc117514769 \h </w:instrText>
            </w:r>
            <w:r w:rsidR="008E184F">
              <w:rPr>
                <w:noProof/>
                <w:webHidden/>
              </w:rPr>
            </w:r>
            <w:r w:rsidR="008E184F">
              <w:rPr>
                <w:noProof/>
                <w:webHidden/>
              </w:rPr>
              <w:fldChar w:fldCharType="separate"/>
            </w:r>
            <w:r w:rsidR="008E184F">
              <w:rPr>
                <w:noProof/>
                <w:webHidden/>
              </w:rPr>
              <w:t>16</w:t>
            </w:r>
            <w:r w:rsidR="008E184F">
              <w:rPr>
                <w:noProof/>
                <w:webHidden/>
              </w:rPr>
              <w:fldChar w:fldCharType="end"/>
            </w:r>
          </w:hyperlink>
        </w:p>
        <w:p w14:paraId="0AE662FD" w14:textId="4341EEDA" w:rsidR="008E184F" w:rsidRDefault="001F5507">
          <w:pPr>
            <w:pStyle w:val="TOC1"/>
            <w:tabs>
              <w:tab w:val="right" w:leader="dot" w:pos="9016"/>
            </w:tabs>
            <w:rPr>
              <w:rFonts w:asciiTheme="minorHAnsi" w:eastAsiaTheme="minorEastAsia" w:hAnsiTheme="minorHAnsi"/>
              <w:noProof/>
              <w:sz w:val="22"/>
              <w:lang w:eastAsia="en-GB"/>
            </w:rPr>
          </w:pPr>
          <w:hyperlink w:anchor="_Toc117514770" w:history="1">
            <w:r w:rsidR="008E184F" w:rsidRPr="000D5CC8">
              <w:rPr>
                <w:rStyle w:val="Hyperlink"/>
                <w:rFonts w:cs="Arial"/>
                <w:noProof/>
              </w:rPr>
              <w:t>Endmatter</w:t>
            </w:r>
            <w:r w:rsidR="008E184F">
              <w:rPr>
                <w:noProof/>
                <w:webHidden/>
              </w:rPr>
              <w:tab/>
            </w:r>
            <w:r w:rsidR="008E184F">
              <w:rPr>
                <w:noProof/>
                <w:webHidden/>
              </w:rPr>
              <w:fldChar w:fldCharType="begin"/>
            </w:r>
            <w:r w:rsidR="008E184F">
              <w:rPr>
                <w:noProof/>
                <w:webHidden/>
              </w:rPr>
              <w:instrText xml:space="preserve"> PAGEREF _Toc117514770 \h </w:instrText>
            </w:r>
            <w:r w:rsidR="008E184F">
              <w:rPr>
                <w:noProof/>
                <w:webHidden/>
              </w:rPr>
            </w:r>
            <w:r w:rsidR="008E184F">
              <w:rPr>
                <w:noProof/>
                <w:webHidden/>
              </w:rPr>
              <w:fldChar w:fldCharType="separate"/>
            </w:r>
            <w:r w:rsidR="008E184F">
              <w:rPr>
                <w:noProof/>
                <w:webHidden/>
              </w:rPr>
              <w:t>16</w:t>
            </w:r>
            <w:r w:rsidR="008E184F">
              <w:rPr>
                <w:noProof/>
                <w:webHidden/>
              </w:rPr>
              <w:fldChar w:fldCharType="end"/>
            </w:r>
          </w:hyperlink>
        </w:p>
        <w:p w14:paraId="41F2B7EB" w14:textId="43703B22" w:rsidR="00351BCA" w:rsidRDefault="00351BCA">
          <w:r>
            <w:rPr>
              <w:b/>
              <w:bCs/>
              <w:noProof/>
            </w:rPr>
            <w:fldChar w:fldCharType="end"/>
          </w:r>
        </w:p>
      </w:sdtContent>
    </w:sdt>
    <w:p w14:paraId="17869A86" w14:textId="77777777" w:rsidR="00C625B0" w:rsidRDefault="00C625B0">
      <w:r>
        <w:br w:type="page"/>
      </w:r>
    </w:p>
    <w:p w14:paraId="21E2CC97" w14:textId="77777777" w:rsidR="000D23AF" w:rsidRPr="00D84C7A" w:rsidRDefault="000D23AF" w:rsidP="00D84C7A">
      <w:pPr>
        <w:pStyle w:val="Heading1"/>
      </w:pPr>
      <w:bookmarkStart w:id="0" w:name="_Toc117514745"/>
      <w:r w:rsidRPr="00D84C7A">
        <w:lastRenderedPageBreak/>
        <w:t>Summary</w:t>
      </w:r>
      <w:bookmarkEnd w:id="0"/>
      <w:r w:rsidRPr="00D84C7A">
        <w:t xml:space="preserve"> </w:t>
      </w:r>
    </w:p>
    <w:p w14:paraId="64C5BD61" w14:textId="47D218F6" w:rsidR="00500555" w:rsidRDefault="00500555" w:rsidP="00500555">
      <w:pPr>
        <w:pStyle w:val="Heading1"/>
        <w:jc w:val="both"/>
        <w:rPr>
          <w:rFonts w:ascii="Arial" w:eastAsiaTheme="minorHAnsi" w:hAnsi="Arial" w:cstheme="minorBidi"/>
          <w:color w:val="auto"/>
          <w:sz w:val="24"/>
          <w:szCs w:val="22"/>
        </w:rPr>
      </w:pPr>
      <w:bookmarkStart w:id="1" w:name="_Toc99450090"/>
      <w:bookmarkStart w:id="2" w:name="_Toc99450141"/>
      <w:bookmarkStart w:id="3" w:name="_Toc99450257"/>
      <w:bookmarkStart w:id="4" w:name="_Toc117514746"/>
      <w:r w:rsidRPr="00500555">
        <w:rPr>
          <w:rFonts w:ascii="Arial" w:eastAsiaTheme="minorHAnsi" w:hAnsi="Arial" w:cstheme="minorBidi"/>
          <w:color w:val="auto"/>
          <w:sz w:val="24"/>
          <w:szCs w:val="22"/>
        </w:rPr>
        <w:t>Data protection legislation sets out rules and standards for the use and handling ('processing') of information ('personal data') about living identifiable individuals ('data subjects') by organisations ('data controllers').</w:t>
      </w:r>
      <w:r>
        <w:rPr>
          <w:rFonts w:ascii="Arial" w:eastAsiaTheme="minorHAnsi" w:hAnsi="Arial" w:cstheme="minorBidi"/>
          <w:color w:val="auto"/>
          <w:sz w:val="24"/>
          <w:szCs w:val="22"/>
        </w:rPr>
        <w:t xml:space="preserve">  </w:t>
      </w:r>
      <w:r w:rsidRPr="00500555">
        <w:rPr>
          <w:rFonts w:ascii="Arial" w:eastAsiaTheme="minorHAnsi" w:hAnsi="Arial" w:cstheme="minorBidi"/>
          <w:color w:val="auto"/>
          <w:sz w:val="24"/>
          <w:szCs w:val="22"/>
        </w:rPr>
        <w:t>It is based around the notions of principles, rights and accountability obligations.  The law applies to organisations in all sectors, both public and private. It applies to all electronic records as well as many paper records. It doesn’t apply to anonymous information or to information about the deceased.</w:t>
      </w:r>
      <w:r>
        <w:rPr>
          <w:rFonts w:ascii="Arial" w:eastAsiaTheme="minorHAnsi" w:hAnsi="Arial" w:cstheme="minorBidi"/>
          <w:color w:val="auto"/>
          <w:sz w:val="24"/>
          <w:szCs w:val="22"/>
        </w:rPr>
        <w:t xml:space="preserve">  </w:t>
      </w:r>
      <w:r w:rsidR="00FD5F0D">
        <w:rPr>
          <w:rFonts w:ascii="Arial" w:eastAsiaTheme="minorHAnsi" w:hAnsi="Arial" w:cstheme="minorBidi"/>
          <w:color w:val="auto"/>
          <w:sz w:val="24"/>
          <w:szCs w:val="22"/>
        </w:rPr>
        <w:t xml:space="preserve">In order to process personal data, the University must comply with all relevant UK Data Protection legislation.  </w:t>
      </w:r>
      <w:r w:rsidRPr="00500555">
        <w:rPr>
          <w:rFonts w:ascii="Arial" w:eastAsiaTheme="minorHAnsi" w:hAnsi="Arial" w:cstheme="minorBidi"/>
          <w:color w:val="auto"/>
          <w:sz w:val="24"/>
          <w:szCs w:val="22"/>
        </w:rPr>
        <w:t xml:space="preserve">Since 25 May 2018, </w:t>
      </w:r>
      <w:r w:rsidR="00FD5F0D">
        <w:rPr>
          <w:rFonts w:ascii="Arial" w:eastAsiaTheme="minorHAnsi" w:hAnsi="Arial" w:cstheme="minorBidi"/>
          <w:color w:val="auto"/>
          <w:sz w:val="24"/>
          <w:szCs w:val="22"/>
        </w:rPr>
        <w:t xml:space="preserve">this includes the UK </w:t>
      </w:r>
      <w:r w:rsidRPr="00500555">
        <w:rPr>
          <w:rFonts w:ascii="Arial" w:eastAsiaTheme="minorHAnsi" w:hAnsi="Arial" w:cstheme="minorBidi"/>
          <w:color w:val="auto"/>
          <w:sz w:val="24"/>
          <w:szCs w:val="22"/>
        </w:rPr>
        <w:t>General Data Protection Regulation (</w:t>
      </w:r>
      <w:r w:rsidR="00FD5F0D">
        <w:rPr>
          <w:rFonts w:ascii="Arial" w:eastAsiaTheme="minorHAnsi" w:hAnsi="Arial" w:cstheme="minorBidi"/>
          <w:color w:val="auto"/>
          <w:sz w:val="24"/>
          <w:szCs w:val="22"/>
        </w:rPr>
        <w:t xml:space="preserve">UK </w:t>
      </w:r>
      <w:r w:rsidRPr="00500555">
        <w:rPr>
          <w:rFonts w:ascii="Arial" w:eastAsiaTheme="minorHAnsi" w:hAnsi="Arial" w:cstheme="minorBidi"/>
          <w:color w:val="auto"/>
          <w:sz w:val="24"/>
          <w:szCs w:val="22"/>
        </w:rPr>
        <w:t>GDPR), coupled with the UK Data Protection Act 2018 (DPA 2018)</w:t>
      </w:r>
      <w:r w:rsidR="00FD5F0D">
        <w:rPr>
          <w:rFonts w:ascii="Arial" w:eastAsiaTheme="minorHAnsi" w:hAnsi="Arial" w:cstheme="minorBidi"/>
          <w:color w:val="auto"/>
          <w:sz w:val="24"/>
          <w:szCs w:val="22"/>
        </w:rPr>
        <w:t>, which</w:t>
      </w:r>
      <w:r w:rsidRPr="00500555">
        <w:rPr>
          <w:rFonts w:ascii="Arial" w:eastAsiaTheme="minorHAnsi" w:hAnsi="Arial" w:cstheme="minorBidi"/>
          <w:color w:val="auto"/>
          <w:sz w:val="24"/>
          <w:szCs w:val="22"/>
        </w:rPr>
        <w:t xml:space="preserve"> supplements the GDPR in specific ways. These two pieces of legislation replaced the Data Protection Act 1998 (DPA 1998) and the numerous Statutory Instruments issued pursuant to it. There is also supplementary data protection legislation covering specific topics, such as direct marketing.</w:t>
      </w:r>
      <w:bookmarkEnd w:id="1"/>
      <w:bookmarkEnd w:id="2"/>
      <w:bookmarkEnd w:id="3"/>
      <w:r w:rsidRPr="00500555">
        <w:rPr>
          <w:rFonts w:ascii="Arial" w:eastAsiaTheme="minorHAnsi" w:hAnsi="Arial" w:cstheme="minorBidi"/>
          <w:color w:val="auto"/>
          <w:sz w:val="24"/>
          <w:szCs w:val="22"/>
        </w:rPr>
        <w:t xml:space="preserve"> </w:t>
      </w:r>
      <w:r w:rsidR="00FD5F0D" w:rsidRPr="00FD5F0D">
        <w:rPr>
          <w:rFonts w:ascii="Arial" w:eastAsiaTheme="minorHAnsi" w:hAnsi="Arial" w:cstheme="minorBidi"/>
          <w:color w:val="auto"/>
          <w:sz w:val="24"/>
          <w:szCs w:val="22"/>
        </w:rPr>
        <w:t>Whilst the introduction of the UK GDPR strengthens a number of areas of data protection, it can be seen as an extension of data protection rather than a revolution of how data must be used by organisations.</w:t>
      </w:r>
      <w:bookmarkEnd w:id="4"/>
    </w:p>
    <w:p w14:paraId="77C9FF61" w14:textId="16975CA8" w:rsidR="00D84C7A" w:rsidRDefault="00D84C7A" w:rsidP="00500555">
      <w:pPr>
        <w:pStyle w:val="Heading1"/>
        <w:jc w:val="both"/>
      </w:pPr>
      <w:bookmarkStart w:id="5" w:name="_Toc117514747"/>
      <w:r>
        <w:t>Glossary of Terms</w:t>
      </w:r>
      <w:bookmarkEnd w:id="5"/>
      <w:r>
        <w:t xml:space="preserve"> </w:t>
      </w:r>
    </w:p>
    <w:p w14:paraId="75A9307F" w14:textId="77777777" w:rsidR="00500555" w:rsidRDefault="00500555" w:rsidP="00500555">
      <w:pPr>
        <w:jc w:val="both"/>
        <w:rPr>
          <w:b/>
          <w:bCs/>
        </w:rPr>
      </w:pPr>
    </w:p>
    <w:p w14:paraId="7E0B76A5" w14:textId="553BE411" w:rsidR="00500555" w:rsidRDefault="00500555" w:rsidP="00500555">
      <w:pPr>
        <w:jc w:val="both"/>
      </w:pPr>
      <w:r w:rsidRPr="00500555">
        <w:rPr>
          <w:b/>
          <w:bCs/>
        </w:rPr>
        <w:t>Consent</w:t>
      </w:r>
      <w:r>
        <w:t xml:space="preserve">: any freely given, specific, informed and unambiguous indication of the data subject's wishes by which he or she, by a statement or by a clear affirmative action, signifies agreement to the processing of personal data relating to him or her. </w:t>
      </w:r>
    </w:p>
    <w:p w14:paraId="083B984C" w14:textId="77777777" w:rsidR="00500555" w:rsidRDefault="00500555" w:rsidP="00500555">
      <w:pPr>
        <w:jc w:val="both"/>
      </w:pPr>
      <w:r w:rsidRPr="00500555">
        <w:rPr>
          <w:b/>
          <w:bCs/>
        </w:rPr>
        <w:t>Data controller</w:t>
      </w:r>
      <w:r>
        <w:t xml:space="preserve">: is the natural or legal person, public authority, agency or other body which, alone or jointly with others, determines the purposes and means of the processing of personal data; where the purposes and means of such processing are determined by the Union or Member State law, the controller or the specific criteria for its nomination may be provided for by Union or Member State law. </w:t>
      </w:r>
    </w:p>
    <w:p w14:paraId="62CA0158" w14:textId="77777777" w:rsidR="00500555" w:rsidRDefault="00500555" w:rsidP="00500555">
      <w:pPr>
        <w:jc w:val="both"/>
      </w:pPr>
      <w:r w:rsidRPr="00500555">
        <w:rPr>
          <w:b/>
          <w:bCs/>
        </w:rPr>
        <w:t>Data processor</w:t>
      </w:r>
      <w:r>
        <w:t xml:space="preserve">: a natural or legal person, public authority, agency or other body which processes personal data on behalf of the controller. </w:t>
      </w:r>
    </w:p>
    <w:p w14:paraId="5563BB8B" w14:textId="380E9CF3" w:rsidR="00500555" w:rsidRDefault="00500555" w:rsidP="00500555">
      <w:pPr>
        <w:jc w:val="both"/>
      </w:pPr>
      <w:r w:rsidRPr="00500555">
        <w:rPr>
          <w:b/>
          <w:bCs/>
        </w:rPr>
        <w:t>Data subject</w:t>
      </w:r>
      <w:r>
        <w:t xml:space="preserve">: a natural person whose personal data is processed by a data controller or processor.  </w:t>
      </w:r>
    </w:p>
    <w:p w14:paraId="60C1FA80" w14:textId="77777777" w:rsidR="00500555" w:rsidRDefault="00500555" w:rsidP="00500555">
      <w:pPr>
        <w:jc w:val="both"/>
      </w:pPr>
      <w:r w:rsidRPr="00500555">
        <w:rPr>
          <w:b/>
          <w:bCs/>
        </w:rPr>
        <w:t>Personal data</w:t>
      </w:r>
      <w:r>
        <w:t xml:space="preserve">: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AF16B98" w14:textId="6A23AE52" w:rsidR="00500555" w:rsidRDefault="00500555" w:rsidP="00500555">
      <w:r>
        <w:rPr>
          <w:b/>
          <w:bCs/>
        </w:rPr>
        <w:lastRenderedPageBreak/>
        <w:t>Data</w:t>
      </w:r>
      <w:r w:rsidRPr="00500555">
        <w:rPr>
          <w:b/>
          <w:bCs/>
        </w:rPr>
        <w:t xml:space="preserve"> breach</w:t>
      </w:r>
      <w:r>
        <w:t xml:space="preserve">: a breach of security leading to the accidental or unlawful destruction, loss, alteration, unauthorised disclosure of, or access to, personal data transmitted, stored or otherwise processed. </w:t>
      </w:r>
    </w:p>
    <w:p w14:paraId="4AB996C3" w14:textId="77777777" w:rsidR="00500555" w:rsidRDefault="00500555" w:rsidP="00500555"/>
    <w:p w14:paraId="23A7EDA5" w14:textId="75E37BA4" w:rsidR="00500555" w:rsidRDefault="00500555" w:rsidP="00500555">
      <w:pPr>
        <w:rPr>
          <w:i/>
          <w:iCs/>
        </w:rPr>
      </w:pPr>
      <w:r w:rsidRPr="00500555">
        <w:rPr>
          <w:b/>
          <w:bCs/>
        </w:rPr>
        <w:t>Privacy impact assessment</w:t>
      </w:r>
      <w:r>
        <w:t xml:space="preserve">: a process designed to help organisations identify and mitigate privacy risks associated with proposed data processing activities. </w:t>
      </w:r>
      <w:r w:rsidRPr="00500555">
        <w:rPr>
          <w:i/>
          <w:iCs/>
        </w:rPr>
        <w:t>For further information, see the University's Privacy Impact Assessment guidance.</w:t>
      </w:r>
    </w:p>
    <w:p w14:paraId="330B4C73" w14:textId="589EB9A9" w:rsidR="00500555" w:rsidRPr="00500555" w:rsidRDefault="00500555" w:rsidP="00500555">
      <w:pPr>
        <w:jc w:val="both"/>
      </w:pPr>
      <w:r w:rsidRPr="00500555">
        <w:rPr>
          <w:b/>
          <w:bCs/>
        </w:rPr>
        <w:t>Processing</w:t>
      </w:r>
      <w:r w:rsidRPr="00500555">
        <w:t>: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07A9460" w14:textId="77777777" w:rsidR="00500555" w:rsidRDefault="00500555" w:rsidP="00500555">
      <w:pPr>
        <w:jc w:val="both"/>
      </w:pPr>
      <w:r w:rsidRPr="00500555">
        <w:rPr>
          <w:b/>
          <w:bCs/>
        </w:rPr>
        <w:t>Pseudonymisation:</w:t>
      </w:r>
      <w:r>
        <w:t xml:space="preserve"> the processing of personal data in such a manner that the personal data can no longer be attributed to a specific data subject without the use of additional information, as long as such additional information is kept separately and technical and organisational measures to ensure that the personal data are not attributed to an identified or identifiable natural person. </w:t>
      </w:r>
    </w:p>
    <w:p w14:paraId="2C5A286D" w14:textId="77777777" w:rsidR="00500555" w:rsidRDefault="00500555" w:rsidP="00500555">
      <w:pPr>
        <w:jc w:val="both"/>
      </w:pPr>
      <w:r w:rsidRPr="00500555">
        <w:rPr>
          <w:b/>
          <w:bCs/>
        </w:rPr>
        <w:t>Restriction on processing</w:t>
      </w:r>
      <w:r>
        <w:t xml:space="preserve">: the marking of stored personal data with the aim of limiting their processing in the future. </w:t>
      </w:r>
    </w:p>
    <w:p w14:paraId="03ACD93E" w14:textId="77777777" w:rsidR="00500555" w:rsidRDefault="00500555" w:rsidP="00500555">
      <w:pPr>
        <w:jc w:val="both"/>
      </w:pPr>
      <w:r w:rsidRPr="00500555">
        <w:rPr>
          <w:b/>
          <w:bCs/>
        </w:rPr>
        <w:t>Right of access</w:t>
      </w:r>
      <w:r>
        <w:t>: entitles the data subjects to have access to have access to and information about the personal data being processed by the data controller.</w:t>
      </w:r>
    </w:p>
    <w:p w14:paraId="1B573044" w14:textId="1CDFEAB5" w:rsidR="006A5B50" w:rsidRPr="006A5B50" w:rsidRDefault="00500555" w:rsidP="00500555">
      <w:pPr>
        <w:jc w:val="both"/>
      </w:pPr>
      <w:r w:rsidRPr="00500555">
        <w:rPr>
          <w:b/>
          <w:bCs/>
        </w:rPr>
        <w:t>Special categories of personal data</w:t>
      </w:r>
      <w:r>
        <w:t xml:space="preserve">: personal data revealing a data subjects racial or ethnic origin, political opinions, religious or philosophical beliefs or trade union membership or the processing of genetic data, biometric data for the purposes of uniquely identifying a natural person, data concerning health or data concerning a natural person's sex life or sexual orientation.  </w:t>
      </w:r>
    </w:p>
    <w:p w14:paraId="7AE35646" w14:textId="1081C8F3" w:rsidR="00B86B25" w:rsidRDefault="00B86B25" w:rsidP="00D84C7A">
      <w:pPr>
        <w:pStyle w:val="Heading1"/>
      </w:pPr>
      <w:bookmarkStart w:id="6" w:name="_Toc117514748"/>
      <w:r w:rsidRPr="00D84C7A">
        <w:t>Purpose</w:t>
      </w:r>
      <w:bookmarkEnd w:id="6"/>
      <w:r w:rsidRPr="00D84C7A">
        <w:t xml:space="preserve"> </w:t>
      </w:r>
    </w:p>
    <w:p w14:paraId="4A210BB5" w14:textId="77777777" w:rsidR="00500555" w:rsidRDefault="00500555" w:rsidP="00500555">
      <w:pPr>
        <w:jc w:val="both"/>
      </w:pPr>
    </w:p>
    <w:p w14:paraId="7E71B6C2" w14:textId="25CBB388" w:rsidR="00B86B25" w:rsidRDefault="00500555" w:rsidP="00500555">
      <w:pPr>
        <w:jc w:val="both"/>
      </w:pPr>
      <w:r w:rsidRPr="00500555">
        <w:t xml:space="preserve">Data protection is the fair and proper use of information about </w:t>
      </w:r>
      <w:r>
        <w:t>individuals</w:t>
      </w:r>
      <w:r w:rsidRPr="00500555">
        <w:t xml:space="preserve">. It is part of the fundamental right to privacy and is also about individual's trusting that their personal data is safe and secure when handled by </w:t>
      </w:r>
      <w:r>
        <w:t>the University</w:t>
      </w:r>
      <w:r w:rsidRPr="00500555">
        <w:t xml:space="preserve">. </w:t>
      </w:r>
      <w:r>
        <w:t>Data Protection training must be undertaken by all Edge Hill staff and the aim of this policy is to provide ongoing support and guidance.</w:t>
      </w:r>
    </w:p>
    <w:p w14:paraId="573DD94D" w14:textId="7AB2EB86" w:rsidR="00500555" w:rsidRDefault="00500555" w:rsidP="00500555">
      <w:pPr>
        <w:pStyle w:val="Heading2"/>
      </w:pPr>
    </w:p>
    <w:p w14:paraId="3D026054" w14:textId="1F3638AE" w:rsidR="00500555" w:rsidRDefault="00500555" w:rsidP="00500555"/>
    <w:p w14:paraId="7E292D98" w14:textId="0CC71DE0" w:rsidR="00500555" w:rsidRDefault="00500555" w:rsidP="00500555"/>
    <w:p w14:paraId="4DD1E561" w14:textId="77777777" w:rsidR="00500555" w:rsidRPr="00500555" w:rsidRDefault="00500555" w:rsidP="00500555"/>
    <w:p w14:paraId="43AD1F1D" w14:textId="7AC63C1B" w:rsidR="00500555" w:rsidRPr="00500555" w:rsidRDefault="00500555" w:rsidP="00500555">
      <w:pPr>
        <w:pStyle w:val="Heading2"/>
        <w:rPr>
          <w:rFonts w:ascii="Arial" w:hAnsi="Arial" w:cs="Arial"/>
          <w:sz w:val="24"/>
          <w:szCs w:val="24"/>
        </w:rPr>
      </w:pPr>
      <w:bookmarkStart w:id="7" w:name="_Toc117514749"/>
      <w:r w:rsidRPr="00500555">
        <w:rPr>
          <w:rFonts w:ascii="Arial" w:hAnsi="Arial" w:cs="Arial"/>
          <w:sz w:val="24"/>
          <w:szCs w:val="24"/>
        </w:rPr>
        <w:t>Introduction</w:t>
      </w:r>
      <w:bookmarkEnd w:id="7"/>
    </w:p>
    <w:p w14:paraId="638F6869" w14:textId="42CDF15C"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University needs to keep certain personal data, for example about its staff and students, to fulfil its purpose and to meet its legal obligations to funding bodies and government. To comply with the law, information must be collected and used fairly, stored safely and not disclosed to any other person unlawfully. To do this, the University must comply with all principles set out in the Data Protection Act 2018 (DPA) and the </w:t>
      </w:r>
      <w:r w:rsidR="00FD5F0D">
        <w:rPr>
          <w:rFonts w:cs="Arial"/>
          <w:szCs w:val="24"/>
        </w:rPr>
        <w:t xml:space="preserve">UK </w:t>
      </w:r>
      <w:r w:rsidRPr="00500555">
        <w:rPr>
          <w:rFonts w:cs="Arial"/>
          <w:szCs w:val="24"/>
        </w:rPr>
        <w:t>General Data Protection Regulation (</w:t>
      </w:r>
      <w:r w:rsidR="00FD5F0D">
        <w:rPr>
          <w:rFonts w:cs="Arial"/>
          <w:szCs w:val="24"/>
        </w:rPr>
        <w:t xml:space="preserve">UK </w:t>
      </w:r>
      <w:r w:rsidRPr="00500555">
        <w:rPr>
          <w:rFonts w:cs="Arial"/>
          <w:szCs w:val="24"/>
        </w:rPr>
        <w:t xml:space="preserve">GDPR).  This is one of a suite of policies that aims to ensure the University is compliant with </w:t>
      </w:r>
      <w:r w:rsidR="00FD5F0D">
        <w:rPr>
          <w:rFonts w:cs="Arial"/>
          <w:szCs w:val="24"/>
        </w:rPr>
        <w:t>UK Data Protection legislation</w:t>
      </w:r>
      <w:r w:rsidRPr="00500555">
        <w:rPr>
          <w:rFonts w:cs="Arial"/>
          <w:szCs w:val="24"/>
        </w:rPr>
        <w:t xml:space="preserve"> and has a robust Information Governance framework.</w:t>
      </w:r>
    </w:p>
    <w:p w14:paraId="7F04F0D7" w14:textId="7914E9C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w:t>
      </w:r>
      <w:r w:rsidR="00FD5F0D">
        <w:rPr>
          <w:rFonts w:cs="Arial"/>
          <w:szCs w:val="24"/>
        </w:rPr>
        <w:t xml:space="preserve">UK </w:t>
      </w:r>
      <w:r w:rsidRPr="00500555">
        <w:rPr>
          <w:rFonts w:cs="Arial"/>
          <w:szCs w:val="24"/>
        </w:rPr>
        <w:t>GDPR introduces strengthened right for individuals, greater sanctions for breaches and an accountability requirement for data controllers to demonstrate compliance and robust governance.  The data controller decides on the nature, scope, context and purpose of processing the data whereas a data processor acts only on instruction from a data controller and processes data on behalf of the data controller.  The University is a data controller and, in some instances, may be a data processor.</w:t>
      </w:r>
    </w:p>
    <w:p w14:paraId="5F3B5365" w14:textId="6AB47EEE"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w:t>
      </w:r>
      <w:r w:rsidR="00FD5F0D">
        <w:rPr>
          <w:rFonts w:cs="Arial"/>
          <w:szCs w:val="24"/>
        </w:rPr>
        <w:t xml:space="preserve">UK </w:t>
      </w:r>
      <w:r w:rsidRPr="00500555">
        <w:rPr>
          <w:rFonts w:cs="Arial"/>
          <w:szCs w:val="24"/>
        </w:rPr>
        <w:t xml:space="preserve">GDPR places restrictions on what the University can do with personal data; certain conditions, which include obtaining data subject consent in some instances, must be met before processing can take place.  The term processing covers almost anything that is done to data by reference to individuals and the practical implications of these restrictions are wide-ranging.  The </w:t>
      </w:r>
      <w:r w:rsidR="00FD5F0D">
        <w:rPr>
          <w:rFonts w:cs="Arial"/>
          <w:szCs w:val="24"/>
        </w:rPr>
        <w:t xml:space="preserve">UK </w:t>
      </w:r>
      <w:r w:rsidRPr="00500555">
        <w:rPr>
          <w:rFonts w:cs="Arial"/>
          <w:szCs w:val="24"/>
        </w:rPr>
        <w:t>GDPR requires the University to process personal data under six principles. The principles are similar to those of the Data Protection Act 2018, with added detail at certain points and a new accountability requirement. The principles include:</w:t>
      </w:r>
    </w:p>
    <w:p w14:paraId="01FB373E"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t>processed lawfully, fairly and in a transparent manner in relation to individuals;</w:t>
      </w:r>
    </w:p>
    <w:p w14:paraId="1D82E811" w14:textId="77777777" w:rsidR="00500555" w:rsidRPr="00500555" w:rsidRDefault="00500555" w:rsidP="00500555">
      <w:pPr>
        <w:jc w:val="both"/>
        <w:rPr>
          <w:rFonts w:cs="Arial"/>
          <w:szCs w:val="24"/>
        </w:rPr>
      </w:pPr>
    </w:p>
    <w:p w14:paraId="420DA3E7"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t>collected for specified, explicit and legitimate purposes and not further processed in a manner that is compatible with those purposes; further processing for archiving purposes in the public interest, scientific or historical research purposes or statistical purposes shall not be considered to be compatible with the initial purposes;</w:t>
      </w:r>
    </w:p>
    <w:p w14:paraId="2055A997" w14:textId="77777777" w:rsidR="00500555" w:rsidRPr="00500555" w:rsidRDefault="00500555" w:rsidP="00500555">
      <w:pPr>
        <w:pStyle w:val="ListParagraph"/>
        <w:jc w:val="both"/>
        <w:rPr>
          <w:rFonts w:cs="Arial"/>
          <w:szCs w:val="24"/>
        </w:rPr>
      </w:pPr>
    </w:p>
    <w:p w14:paraId="1157C313"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t>adequate, relevant and limited to what is necessary in relation to the purpose for which they are processed;</w:t>
      </w:r>
    </w:p>
    <w:p w14:paraId="6EE372BC" w14:textId="77777777" w:rsidR="00500555" w:rsidRPr="00500555" w:rsidRDefault="00500555" w:rsidP="00500555">
      <w:pPr>
        <w:pStyle w:val="ListParagraph"/>
        <w:jc w:val="both"/>
        <w:rPr>
          <w:rFonts w:cs="Arial"/>
          <w:szCs w:val="24"/>
        </w:rPr>
      </w:pPr>
    </w:p>
    <w:p w14:paraId="26B59766"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t>accurate and, where necessary, kept up to date; every reasonable step must be taken to ensure the personal data that are inaccurate, having regard to the purposes for which they are processed, are erased or rectified without delay;</w:t>
      </w:r>
    </w:p>
    <w:p w14:paraId="1F7DFCB2" w14:textId="77777777" w:rsidR="00500555" w:rsidRPr="00500555" w:rsidRDefault="00500555" w:rsidP="00500555">
      <w:pPr>
        <w:pStyle w:val="ListParagraph"/>
        <w:jc w:val="both"/>
        <w:rPr>
          <w:rFonts w:cs="Arial"/>
          <w:szCs w:val="24"/>
        </w:rPr>
      </w:pPr>
    </w:p>
    <w:p w14:paraId="3F540DEF"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lastRenderedPageBreak/>
        <w:t>kept in form which permits identification of data subjects for no longer than is necessary for the purposes for which the personal data are processed; personal data may be stored for long periods insofar as the personal data will be processed solely for archiving purposes in the public interest, scientific or historical purposed or statistical purposes subject to implementation of the appropriate technical or organisational measures required by the GDPR in order to safeguard the right and freedoms of individuals;</w:t>
      </w:r>
    </w:p>
    <w:p w14:paraId="16A7586D" w14:textId="77777777" w:rsidR="00500555" w:rsidRPr="00500555" w:rsidRDefault="00500555" w:rsidP="00500555">
      <w:pPr>
        <w:pStyle w:val="ListParagraph"/>
        <w:jc w:val="both"/>
        <w:rPr>
          <w:rFonts w:cs="Arial"/>
          <w:szCs w:val="24"/>
        </w:rPr>
      </w:pPr>
    </w:p>
    <w:p w14:paraId="2CF815D4" w14:textId="77777777" w:rsidR="00500555" w:rsidRPr="00500555" w:rsidRDefault="00500555" w:rsidP="00500555">
      <w:pPr>
        <w:widowControl w:val="0"/>
        <w:numPr>
          <w:ilvl w:val="0"/>
          <w:numId w:val="8"/>
        </w:numPr>
        <w:autoSpaceDE w:val="0"/>
        <w:autoSpaceDN w:val="0"/>
        <w:adjustRightInd w:val="0"/>
        <w:spacing w:after="0" w:line="240" w:lineRule="auto"/>
        <w:jc w:val="both"/>
        <w:rPr>
          <w:rFonts w:cs="Arial"/>
          <w:szCs w:val="24"/>
        </w:rPr>
      </w:pPr>
      <w:r w:rsidRPr="00500555">
        <w:rPr>
          <w:rFonts w:cs="Arial"/>
          <w:szCs w:val="24"/>
        </w:rPr>
        <w:t xml:space="preserve">processed in a manner that ensures appropriate security of the personal data, including protection against unauthorized or unlawful processing and against accidental loss, destruction or damage, using appropriate technical or organisational measures. </w:t>
      </w:r>
    </w:p>
    <w:p w14:paraId="446A43C0" w14:textId="77777777" w:rsidR="00500555" w:rsidRPr="00500555" w:rsidRDefault="00500555" w:rsidP="00500555">
      <w:pPr>
        <w:pStyle w:val="ListParagraph"/>
        <w:jc w:val="both"/>
        <w:rPr>
          <w:rFonts w:cs="Arial"/>
          <w:szCs w:val="24"/>
        </w:rPr>
      </w:pPr>
    </w:p>
    <w:p w14:paraId="3BB5FF82" w14:textId="41494D2B" w:rsidR="00500555" w:rsidRDefault="00500555" w:rsidP="00500555">
      <w:pPr>
        <w:spacing w:before="100" w:beforeAutospacing="1" w:after="100" w:afterAutospacing="1"/>
        <w:jc w:val="both"/>
        <w:rPr>
          <w:rFonts w:cs="Arial"/>
          <w:szCs w:val="24"/>
        </w:rPr>
      </w:pPr>
      <w:r w:rsidRPr="00500555">
        <w:rPr>
          <w:rFonts w:cs="Arial"/>
          <w:szCs w:val="24"/>
        </w:rPr>
        <w:t xml:space="preserve">Article 5(2) requires that “the controller shall be responsible for, and be able to demonstrate, compliance with the principles”. The University and its entire staff who process or use personal information must ensure that they </w:t>
      </w:r>
      <w:r w:rsidR="00FD5F0D" w:rsidRPr="00500555">
        <w:rPr>
          <w:rFonts w:cs="Arial"/>
          <w:szCs w:val="24"/>
        </w:rPr>
        <w:t>always follow these principles</w:t>
      </w:r>
      <w:r w:rsidRPr="00500555">
        <w:rPr>
          <w:rFonts w:cs="Arial"/>
          <w:szCs w:val="24"/>
        </w:rPr>
        <w:t xml:space="preserve">. </w:t>
      </w:r>
      <w:r w:rsidR="00FD5F0D" w:rsidRPr="00500555">
        <w:rPr>
          <w:rFonts w:cs="Arial"/>
          <w:szCs w:val="24"/>
        </w:rPr>
        <w:t>T</w:t>
      </w:r>
      <w:r w:rsidRPr="00500555">
        <w:rPr>
          <w:rFonts w:cs="Arial"/>
          <w:szCs w:val="24"/>
        </w:rPr>
        <w:t>he University has developed this Data Protection Policy</w:t>
      </w:r>
      <w:r w:rsidR="00FD5F0D">
        <w:rPr>
          <w:rFonts w:cs="Arial"/>
          <w:szCs w:val="24"/>
        </w:rPr>
        <w:t xml:space="preserve"> to support compliance</w:t>
      </w:r>
      <w:r w:rsidRPr="00500555">
        <w:rPr>
          <w:rFonts w:cs="Arial"/>
          <w:szCs w:val="24"/>
        </w:rPr>
        <w:t xml:space="preserve">. </w:t>
      </w:r>
    </w:p>
    <w:p w14:paraId="109A1258" w14:textId="77777777" w:rsidR="00FD5F0D" w:rsidRPr="00FD5F0D" w:rsidRDefault="00FD5F0D" w:rsidP="00FD5F0D">
      <w:pPr>
        <w:spacing w:before="100" w:beforeAutospacing="1" w:after="100" w:afterAutospacing="1"/>
        <w:jc w:val="both"/>
        <w:rPr>
          <w:rFonts w:cs="Arial"/>
          <w:szCs w:val="24"/>
        </w:rPr>
      </w:pPr>
      <w:r w:rsidRPr="00FD5F0D">
        <w:rPr>
          <w:rFonts w:cs="Arial"/>
          <w:szCs w:val="24"/>
        </w:rPr>
        <w:t>Since 1 January 2021, the UK has left the European Union. This has created two significant changes with regards to data protection.</w:t>
      </w:r>
    </w:p>
    <w:p w14:paraId="04E91884" w14:textId="3A8C71C7" w:rsidR="00FD5F0D" w:rsidRPr="00FD5F0D" w:rsidRDefault="00FD5F0D" w:rsidP="00FD5F0D">
      <w:pPr>
        <w:pStyle w:val="ListParagraph"/>
        <w:numPr>
          <w:ilvl w:val="0"/>
          <w:numId w:val="11"/>
        </w:numPr>
        <w:spacing w:before="100" w:beforeAutospacing="1" w:after="100" w:afterAutospacing="1"/>
        <w:jc w:val="both"/>
        <w:rPr>
          <w:rFonts w:cs="Arial"/>
          <w:szCs w:val="24"/>
        </w:rPr>
      </w:pPr>
      <w:r w:rsidRPr="00FD5F0D">
        <w:rPr>
          <w:rFonts w:cs="Arial"/>
          <w:szCs w:val="24"/>
        </w:rPr>
        <w:t xml:space="preserve">The UK has now become a “third country” in data protection terms. The UK has been awarded an adequacy decision from the EU, meaning data transfer between the UK and the EU can continue as before. This decision will be reviewed in three years. </w:t>
      </w:r>
    </w:p>
    <w:p w14:paraId="4573D07E" w14:textId="7D5E37EC" w:rsidR="00FD5F0D" w:rsidRPr="00FD5F0D" w:rsidRDefault="00FD5F0D" w:rsidP="00FD5F0D">
      <w:pPr>
        <w:pStyle w:val="ListParagraph"/>
        <w:numPr>
          <w:ilvl w:val="0"/>
          <w:numId w:val="11"/>
        </w:numPr>
        <w:spacing w:before="100" w:beforeAutospacing="1" w:after="100" w:afterAutospacing="1"/>
        <w:jc w:val="both"/>
        <w:rPr>
          <w:rFonts w:cs="Arial"/>
          <w:szCs w:val="24"/>
        </w:rPr>
      </w:pPr>
      <w:r w:rsidRPr="00FD5F0D">
        <w:rPr>
          <w:rFonts w:cs="Arial"/>
          <w:szCs w:val="24"/>
        </w:rPr>
        <w:t>The GDPR is European Union legislation. Since the UK has left the EU, the title of the legislation has changed to reflect the UK’s more withdrawn role in Europe. The legislation is now known as the UK GDPR. Whilst fundamentally the same law, it has now been altered to apply only to the UK and its local laws.</w:t>
      </w:r>
    </w:p>
    <w:p w14:paraId="5017E123" w14:textId="77777777" w:rsidR="00500555" w:rsidRPr="00500555" w:rsidRDefault="00500555" w:rsidP="00500555">
      <w:pPr>
        <w:pStyle w:val="Heading2"/>
        <w:rPr>
          <w:rFonts w:ascii="Arial" w:hAnsi="Arial" w:cs="Arial"/>
          <w:sz w:val="24"/>
          <w:szCs w:val="24"/>
        </w:rPr>
      </w:pPr>
      <w:bookmarkStart w:id="8" w:name="_Toc117514750"/>
      <w:r w:rsidRPr="00500555">
        <w:rPr>
          <w:rFonts w:ascii="Arial" w:hAnsi="Arial" w:cs="Arial"/>
          <w:sz w:val="24"/>
          <w:szCs w:val="24"/>
        </w:rPr>
        <w:t>Status of the Policy</w:t>
      </w:r>
      <w:bookmarkEnd w:id="8"/>
      <w:r w:rsidRPr="00500555">
        <w:rPr>
          <w:rFonts w:ascii="Arial" w:hAnsi="Arial" w:cs="Arial"/>
          <w:sz w:val="24"/>
          <w:szCs w:val="24"/>
        </w:rPr>
        <w:t xml:space="preserve"> </w:t>
      </w:r>
    </w:p>
    <w:p w14:paraId="3F24DD6C" w14:textId="11204F6C" w:rsidR="00500555" w:rsidRPr="00500555" w:rsidRDefault="00500555" w:rsidP="00500555">
      <w:pPr>
        <w:spacing w:before="100" w:beforeAutospacing="1" w:after="100" w:afterAutospacing="1"/>
        <w:rPr>
          <w:rFonts w:cs="Arial"/>
          <w:szCs w:val="24"/>
        </w:rPr>
      </w:pPr>
      <w:r w:rsidRPr="00500555">
        <w:rPr>
          <w:rFonts w:cs="Arial"/>
          <w:szCs w:val="24"/>
        </w:rPr>
        <w:t xml:space="preserve">This policy has been approved by the University’s Board of Governors and any breach will be taken seriously and may result in more formal action. </w:t>
      </w:r>
    </w:p>
    <w:p w14:paraId="044F4CAF" w14:textId="33D48824"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Any member of staff or student who considers that the policy has not been followed in respect of personal data about themselves should raise the matter with their Head of Department or the University Data Protection Officer in the first instance. </w:t>
      </w:r>
    </w:p>
    <w:p w14:paraId="713D7DE2" w14:textId="77777777" w:rsidR="00500555" w:rsidRPr="00500555" w:rsidRDefault="00500555" w:rsidP="00500555">
      <w:pPr>
        <w:pStyle w:val="Heading2"/>
        <w:rPr>
          <w:rFonts w:ascii="Arial" w:hAnsi="Arial" w:cs="Arial"/>
          <w:sz w:val="24"/>
          <w:szCs w:val="24"/>
        </w:rPr>
      </w:pPr>
      <w:bookmarkStart w:id="9" w:name="_Toc117514751"/>
      <w:r w:rsidRPr="00500555">
        <w:rPr>
          <w:rFonts w:ascii="Arial" w:hAnsi="Arial" w:cs="Arial"/>
          <w:sz w:val="24"/>
          <w:szCs w:val="24"/>
        </w:rPr>
        <w:t>Notification of Data Held and Processed</w:t>
      </w:r>
      <w:bookmarkEnd w:id="9"/>
      <w:r w:rsidRPr="00500555">
        <w:rPr>
          <w:rFonts w:ascii="Arial" w:hAnsi="Arial" w:cs="Arial"/>
          <w:sz w:val="24"/>
          <w:szCs w:val="24"/>
        </w:rPr>
        <w:t xml:space="preserve"> </w:t>
      </w:r>
    </w:p>
    <w:p w14:paraId="5F133CAA" w14:textId="77777777" w:rsidR="00500555" w:rsidRPr="00500555" w:rsidRDefault="00500555" w:rsidP="00500555">
      <w:pPr>
        <w:spacing w:before="100" w:beforeAutospacing="1" w:after="100" w:afterAutospacing="1"/>
        <w:rPr>
          <w:rFonts w:cs="Arial"/>
          <w:szCs w:val="24"/>
        </w:rPr>
      </w:pPr>
      <w:r w:rsidRPr="00500555">
        <w:rPr>
          <w:rFonts w:cs="Arial"/>
          <w:szCs w:val="24"/>
        </w:rPr>
        <w:t>The main data the University processes is:</w:t>
      </w:r>
    </w:p>
    <w:p w14:paraId="000B1F74" w14:textId="77777777" w:rsidR="00500555" w:rsidRPr="00500555" w:rsidRDefault="00500555" w:rsidP="00500555">
      <w:pPr>
        <w:numPr>
          <w:ilvl w:val="0"/>
          <w:numId w:val="10"/>
        </w:numPr>
        <w:spacing w:before="100" w:beforeAutospacing="1" w:after="100" w:afterAutospacing="1" w:line="240" w:lineRule="auto"/>
        <w:rPr>
          <w:rFonts w:cs="Arial"/>
          <w:szCs w:val="24"/>
        </w:rPr>
      </w:pPr>
      <w:r w:rsidRPr="00500555">
        <w:rPr>
          <w:rFonts w:cs="Arial"/>
          <w:szCs w:val="24"/>
        </w:rPr>
        <w:lastRenderedPageBreak/>
        <w:t>Staff Data</w:t>
      </w:r>
    </w:p>
    <w:p w14:paraId="45C24283" w14:textId="77777777" w:rsidR="00500555" w:rsidRPr="00500555" w:rsidRDefault="00500555" w:rsidP="00500555">
      <w:pPr>
        <w:numPr>
          <w:ilvl w:val="0"/>
          <w:numId w:val="10"/>
        </w:numPr>
        <w:spacing w:before="100" w:beforeAutospacing="1" w:after="100" w:afterAutospacing="1" w:line="240" w:lineRule="auto"/>
        <w:rPr>
          <w:rFonts w:cs="Arial"/>
          <w:szCs w:val="24"/>
        </w:rPr>
      </w:pPr>
      <w:r w:rsidRPr="00500555">
        <w:rPr>
          <w:rFonts w:cs="Arial"/>
          <w:szCs w:val="24"/>
        </w:rPr>
        <w:t>Student Data</w:t>
      </w:r>
    </w:p>
    <w:p w14:paraId="487E7D39" w14:textId="6B381402" w:rsidR="00500555" w:rsidRPr="00500555" w:rsidRDefault="00500555" w:rsidP="00500555">
      <w:pPr>
        <w:numPr>
          <w:ilvl w:val="0"/>
          <w:numId w:val="10"/>
        </w:numPr>
        <w:spacing w:before="100" w:beforeAutospacing="1" w:after="100" w:afterAutospacing="1" w:line="240" w:lineRule="auto"/>
        <w:rPr>
          <w:rFonts w:cs="Arial"/>
          <w:szCs w:val="24"/>
        </w:rPr>
      </w:pPr>
      <w:r w:rsidRPr="00500555">
        <w:rPr>
          <w:rFonts w:cs="Arial"/>
          <w:szCs w:val="24"/>
        </w:rPr>
        <w:t>Research Data</w:t>
      </w:r>
    </w:p>
    <w:p w14:paraId="616488D6" w14:textId="23480D42" w:rsidR="00500555" w:rsidRPr="00500555" w:rsidRDefault="00500555" w:rsidP="00500555">
      <w:pPr>
        <w:numPr>
          <w:ilvl w:val="0"/>
          <w:numId w:val="10"/>
        </w:numPr>
        <w:spacing w:before="100" w:beforeAutospacing="1" w:after="100" w:afterAutospacing="1" w:line="240" w:lineRule="auto"/>
        <w:rPr>
          <w:rFonts w:cs="Arial"/>
          <w:szCs w:val="24"/>
        </w:rPr>
      </w:pPr>
      <w:r w:rsidRPr="00500555">
        <w:rPr>
          <w:rFonts w:cs="Arial"/>
          <w:szCs w:val="24"/>
        </w:rPr>
        <w:t>Third Party Data</w:t>
      </w:r>
    </w:p>
    <w:p w14:paraId="3796CED2" w14:textId="77777777" w:rsidR="00500555" w:rsidRPr="00500555" w:rsidRDefault="00500555" w:rsidP="00500555">
      <w:pPr>
        <w:spacing w:before="100" w:beforeAutospacing="1" w:after="100" w:afterAutospacing="1"/>
        <w:ind w:left="360"/>
        <w:rPr>
          <w:rFonts w:cs="Arial"/>
          <w:szCs w:val="24"/>
        </w:rPr>
      </w:pPr>
      <w:r w:rsidRPr="00500555">
        <w:rPr>
          <w:rFonts w:cs="Arial"/>
          <w:szCs w:val="24"/>
        </w:rPr>
        <w:t>All staff, students and other users are entitled to the right to be informed of the following:</w:t>
      </w:r>
    </w:p>
    <w:p w14:paraId="2F892356"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 xml:space="preserve">The identity and contact details of the data controller. </w:t>
      </w:r>
    </w:p>
    <w:p w14:paraId="3B1D53F0"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Purpose of the processing and the legal basis</w:t>
      </w:r>
    </w:p>
    <w:p w14:paraId="6F29F2C7"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 xml:space="preserve">Any recipients of the data </w:t>
      </w:r>
    </w:p>
    <w:p w14:paraId="3753BF45"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Details of transfers to third country and safeguards</w:t>
      </w:r>
    </w:p>
    <w:p w14:paraId="22DD8107"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Retention period</w:t>
      </w:r>
    </w:p>
    <w:p w14:paraId="26AB9D8C"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The right to lodge a complaint</w:t>
      </w:r>
    </w:p>
    <w:p w14:paraId="20C7B996" w14:textId="77777777" w:rsidR="00500555" w:rsidRPr="00500555" w:rsidRDefault="00500555" w:rsidP="00500555">
      <w:pPr>
        <w:numPr>
          <w:ilvl w:val="0"/>
          <w:numId w:val="4"/>
        </w:numPr>
        <w:spacing w:before="100" w:beforeAutospacing="1" w:after="100" w:afterAutospacing="1" w:line="240" w:lineRule="auto"/>
        <w:jc w:val="both"/>
        <w:rPr>
          <w:rFonts w:cs="Arial"/>
          <w:szCs w:val="24"/>
        </w:rPr>
      </w:pPr>
      <w:r w:rsidRPr="00500555">
        <w:rPr>
          <w:rFonts w:cs="Arial"/>
          <w:szCs w:val="24"/>
        </w:rPr>
        <w:t>The existence of any automated decision making</w:t>
      </w:r>
    </w:p>
    <w:p w14:paraId="29276C09" w14:textId="77777777" w:rsidR="00500555" w:rsidRPr="00500555" w:rsidRDefault="00500555" w:rsidP="00500555">
      <w:pPr>
        <w:pStyle w:val="Heading2"/>
        <w:rPr>
          <w:rFonts w:ascii="Arial" w:hAnsi="Arial" w:cs="Arial"/>
          <w:sz w:val="24"/>
          <w:szCs w:val="24"/>
        </w:rPr>
      </w:pPr>
      <w:bookmarkStart w:id="10" w:name="_Toc117514752"/>
      <w:r w:rsidRPr="00500555">
        <w:rPr>
          <w:rFonts w:ascii="Arial" w:hAnsi="Arial" w:cs="Arial"/>
          <w:sz w:val="24"/>
          <w:szCs w:val="24"/>
        </w:rPr>
        <w:t>Responsibilities of Staff and Students</w:t>
      </w:r>
      <w:bookmarkEnd w:id="10"/>
      <w:r w:rsidRPr="00500555">
        <w:rPr>
          <w:rFonts w:ascii="Arial" w:hAnsi="Arial" w:cs="Arial"/>
          <w:sz w:val="24"/>
          <w:szCs w:val="24"/>
        </w:rPr>
        <w:t xml:space="preserve"> </w:t>
      </w:r>
    </w:p>
    <w:p w14:paraId="6868661D" w14:textId="4469578A" w:rsidR="00500555" w:rsidRPr="00500555" w:rsidRDefault="00500555" w:rsidP="00500555">
      <w:pPr>
        <w:spacing w:before="100" w:beforeAutospacing="1" w:after="100" w:afterAutospacing="1"/>
        <w:rPr>
          <w:rFonts w:cs="Arial"/>
          <w:szCs w:val="24"/>
        </w:rPr>
      </w:pPr>
      <w:r w:rsidRPr="00500555">
        <w:rPr>
          <w:rFonts w:cs="Arial"/>
          <w:szCs w:val="24"/>
        </w:rPr>
        <w:t xml:space="preserve">All staff and students are responsible for: </w:t>
      </w:r>
    </w:p>
    <w:p w14:paraId="0822665E" w14:textId="77777777" w:rsidR="00500555" w:rsidRPr="00500555" w:rsidRDefault="00500555" w:rsidP="00500555">
      <w:pPr>
        <w:numPr>
          <w:ilvl w:val="0"/>
          <w:numId w:val="5"/>
        </w:numPr>
        <w:spacing w:before="100" w:beforeAutospacing="1" w:after="100" w:afterAutospacing="1" w:line="240" w:lineRule="auto"/>
        <w:jc w:val="both"/>
        <w:rPr>
          <w:rFonts w:cs="Arial"/>
          <w:szCs w:val="24"/>
        </w:rPr>
      </w:pPr>
      <w:r w:rsidRPr="00500555">
        <w:rPr>
          <w:rFonts w:cs="Arial"/>
          <w:szCs w:val="24"/>
        </w:rPr>
        <w:t xml:space="preserve">Checking that any personal data that they provide to the University is accurate and up to date. </w:t>
      </w:r>
    </w:p>
    <w:p w14:paraId="2ABDD2FB" w14:textId="77777777" w:rsidR="00500555" w:rsidRPr="00500555" w:rsidRDefault="00500555" w:rsidP="00500555">
      <w:pPr>
        <w:numPr>
          <w:ilvl w:val="0"/>
          <w:numId w:val="5"/>
        </w:numPr>
        <w:spacing w:before="100" w:beforeAutospacing="1" w:after="100" w:afterAutospacing="1" w:line="240" w:lineRule="auto"/>
        <w:jc w:val="both"/>
        <w:rPr>
          <w:rFonts w:cs="Arial"/>
          <w:szCs w:val="24"/>
        </w:rPr>
      </w:pPr>
      <w:r w:rsidRPr="00500555">
        <w:rPr>
          <w:rFonts w:cs="Arial"/>
          <w:szCs w:val="24"/>
        </w:rPr>
        <w:t xml:space="preserve">Informing the University of any change to information which they have provided, e.g. changes of address. </w:t>
      </w:r>
    </w:p>
    <w:p w14:paraId="4F53AED0" w14:textId="77777777" w:rsidR="00500555" w:rsidRPr="00500555" w:rsidRDefault="00500555" w:rsidP="00500555">
      <w:pPr>
        <w:numPr>
          <w:ilvl w:val="0"/>
          <w:numId w:val="5"/>
        </w:numPr>
        <w:spacing w:before="100" w:beforeAutospacing="1" w:after="100" w:afterAutospacing="1" w:line="240" w:lineRule="auto"/>
        <w:jc w:val="both"/>
        <w:rPr>
          <w:rFonts w:cs="Arial"/>
          <w:szCs w:val="24"/>
        </w:rPr>
      </w:pPr>
      <w:r w:rsidRPr="00500555">
        <w:rPr>
          <w:rFonts w:cs="Arial"/>
          <w:szCs w:val="24"/>
        </w:rPr>
        <w:t xml:space="preserve">Checking any information that the University may send out from time to time, giving details of information that is being kept and processed. </w:t>
      </w:r>
    </w:p>
    <w:p w14:paraId="58665447"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If, as part of their responsibilities, staff collect information about other people (e.g. about students’ course work or personal circumstances, or about members of staff in their department or research group), they must comply with the Policy and with the Data Protection Guidance Notes. </w:t>
      </w:r>
    </w:p>
    <w:p w14:paraId="68BC0527" w14:textId="2468A64D" w:rsidR="00500555" w:rsidRPr="00500555" w:rsidRDefault="00500555" w:rsidP="00500555">
      <w:pPr>
        <w:spacing w:before="100" w:beforeAutospacing="1"/>
        <w:jc w:val="both"/>
        <w:rPr>
          <w:rFonts w:cs="Arial"/>
          <w:b/>
          <w:szCs w:val="24"/>
        </w:rPr>
      </w:pPr>
      <w:r w:rsidRPr="00500555">
        <w:rPr>
          <w:rFonts w:cs="Arial"/>
          <w:szCs w:val="24"/>
        </w:rPr>
        <w:t>Students who use the University computer facilities may, from time to time, process personal data. If they do so, they must notify their head of department who will inform the University Data Protection Officer.</w:t>
      </w:r>
      <w:r w:rsidRPr="00500555">
        <w:rPr>
          <w:rFonts w:cs="Arial"/>
          <w:b/>
          <w:szCs w:val="24"/>
        </w:rPr>
        <w:t xml:space="preserve">  </w:t>
      </w:r>
    </w:p>
    <w:p w14:paraId="101E8F73" w14:textId="6690B94B" w:rsidR="00500555" w:rsidRPr="00500555" w:rsidRDefault="00500555" w:rsidP="00500555">
      <w:pPr>
        <w:pStyle w:val="Heading2"/>
        <w:rPr>
          <w:rFonts w:ascii="Arial" w:hAnsi="Arial" w:cs="Arial"/>
          <w:sz w:val="24"/>
          <w:szCs w:val="24"/>
        </w:rPr>
      </w:pPr>
      <w:bookmarkStart w:id="11" w:name="_Toc117514753"/>
      <w:r w:rsidRPr="00500555">
        <w:rPr>
          <w:rFonts w:ascii="Arial" w:hAnsi="Arial" w:cs="Arial"/>
          <w:sz w:val="24"/>
          <w:szCs w:val="24"/>
        </w:rPr>
        <w:t>Data Security</w:t>
      </w:r>
      <w:bookmarkEnd w:id="11"/>
      <w:r w:rsidRPr="00500555">
        <w:rPr>
          <w:rFonts w:ascii="Arial" w:hAnsi="Arial" w:cs="Arial"/>
          <w:sz w:val="24"/>
          <w:szCs w:val="24"/>
        </w:rPr>
        <w:t xml:space="preserve"> </w:t>
      </w:r>
    </w:p>
    <w:p w14:paraId="7F71DFED"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need to ensure that data is kept securely means that precautions must be taken against physical loss or damage, and that both access and disclosure must be restricted. All staff are responsible for ensuring that: </w:t>
      </w:r>
    </w:p>
    <w:p w14:paraId="4EA88D4B" w14:textId="77777777" w:rsidR="00500555" w:rsidRPr="00500555" w:rsidRDefault="00500555" w:rsidP="00500555">
      <w:pPr>
        <w:numPr>
          <w:ilvl w:val="0"/>
          <w:numId w:val="6"/>
        </w:numPr>
        <w:spacing w:before="100" w:beforeAutospacing="1" w:after="100" w:afterAutospacing="1" w:line="240" w:lineRule="auto"/>
        <w:jc w:val="both"/>
        <w:rPr>
          <w:rFonts w:cs="Arial"/>
          <w:szCs w:val="24"/>
        </w:rPr>
      </w:pPr>
      <w:r w:rsidRPr="00500555">
        <w:rPr>
          <w:rFonts w:cs="Arial"/>
          <w:szCs w:val="24"/>
        </w:rPr>
        <w:t xml:space="preserve">Any personal data which they hold is kept securely </w:t>
      </w:r>
    </w:p>
    <w:p w14:paraId="33415C60" w14:textId="77777777" w:rsidR="00500555" w:rsidRPr="00500555" w:rsidRDefault="00500555" w:rsidP="00500555">
      <w:pPr>
        <w:numPr>
          <w:ilvl w:val="0"/>
          <w:numId w:val="6"/>
        </w:numPr>
        <w:spacing w:before="100" w:beforeAutospacing="1" w:after="100" w:afterAutospacing="1" w:line="240" w:lineRule="auto"/>
        <w:jc w:val="both"/>
        <w:rPr>
          <w:rFonts w:cs="Arial"/>
          <w:szCs w:val="24"/>
        </w:rPr>
      </w:pPr>
      <w:r w:rsidRPr="00500555">
        <w:rPr>
          <w:rFonts w:cs="Arial"/>
          <w:szCs w:val="24"/>
        </w:rPr>
        <w:t xml:space="preserve">Personal information is not disclosed either orally or in writing or otherwise to any unauthorised third party. </w:t>
      </w:r>
    </w:p>
    <w:p w14:paraId="66F253BB" w14:textId="77777777" w:rsidR="00500555" w:rsidRPr="00500555" w:rsidRDefault="00500555" w:rsidP="00500555">
      <w:pPr>
        <w:spacing w:before="100" w:beforeAutospacing="1" w:after="100" w:afterAutospacing="1"/>
        <w:rPr>
          <w:rFonts w:cs="Arial"/>
          <w:szCs w:val="24"/>
        </w:rPr>
      </w:pPr>
      <w:r w:rsidRPr="00500555">
        <w:rPr>
          <w:rFonts w:cs="Arial"/>
          <w:szCs w:val="24"/>
        </w:rPr>
        <w:lastRenderedPageBreak/>
        <w:t xml:space="preserve">Detailed advice on data security can be found in the University Information Security Policy; a brief guide can also be found in the Data Protection Breach Guidance Notes. </w:t>
      </w:r>
    </w:p>
    <w:p w14:paraId="1FC28238" w14:textId="6FBDFF26" w:rsidR="00500555" w:rsidRPr="00500555" w:rsidRDefault="00500555" w:rsidP="00500555">
      <w:pPr>
        <w:pStyle w:val="Heading2"/>
        <w:rPr>
          <w:rFonts w:ascii="Arial" w:hAnsi="Arial" w:cs="Arial"/>
          <w:sz w:val="24"/>
          <w:szCs w:val="24"/>
        </w:rPr>
      </w:pPr>
      <w:bookmarkStart w:id="12" w:name="_Toc117514754"/>
      <w:r w:rsidRPr="00500555">
        <w:rPr>
          <w:rFonts w:ascii="Arial" w:hAnsi="Arial" w:cs="Arial"/>
          <w:sz w:val="24"/>
          <w:szCs w:val="24"/>
        </w:rPr>
        <w:t>Rights to Access Information</w:t>
      </w:r>
      <w:bookmarkEnd w:id="12"/>
      <w:r w:rsidRPr="00500555">
        <w:rPr>
          <w:rFonts w:ascii="Arial" w:hAnsi="Arial" w:cs="Arial"/>
          <w:sz w:val="24"/>
          <w:szCs w:val="24"/>
        </w:rPr>
        <w:t xml:space="preserve"> </w:t>
      </w:r>
    </w:p>
    <w:p w14:paraId="040A5D5D" w14:textId="7F37282E"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Staff and students and other users of the University have the right to access any personal data that is being kept about them on computer and also have access to paper-based data held in certain manual filing systems. Any person who wishes to exercise this right should make the request in writing to the University's Data Protection Officer, using the standard Subject Access Request Form. </w:t>
      </w:r>
    </w:p>
    <w:p w14:paraId="1CAC630C" w14:textId="197F5ECD"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University aims to comply with requests for access to personal information as quickly as possible but will ensure that it is provided within 30 calendar days of receipt of a completed form unless there is good reason for delay. In such cases, the reason for delay will be explained in writing to the individual making the request. </w:t>
      </w:r>
    </w:p>
    <w:p w14:paraId="01EA815F"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Individuals are entitled to receive their data in a structured, commonly used and machine-readable format so it can be transmitted automatically to another data controller.  This applies only to information that has been originally provided by the individual themselves and is being processed by automated means for the purpose of a contract.</w:t>
      </w:r>
    </w:p>
    <w:p w14:paraId="3E4B23EE" w14:textId="6BF71B98" w:rsidR="00500555" w:rsidRPr="00500555" w:rsidRDefault="00500555" w:rsidP="00500555">
      <w:pPr>
        <w:pStyle w:val="Heading2"/>
        <w:rPr>
          <w:rFonts w:ascii="Arial" w:hAnsi="Arial" w:cs="Arial"/>
          <w:sz w:val="24"/>
          <w:szCs w:val="24"/>
        </w:rPr>
      </w:pPr>
      <w:bookmarkStart w:id="13" w:name="_Toc117514755"/>
      <w:r w:rsidRPr="00500555">
        <w:rPr>
          <w:rFonts w:ascii="Arial" w:hAnsi="Arial" w:cs="Arial"/>
          <w:sz w:val="24"/>
          <w:szCs w:val="24"/>
        </w:rPr>
        <w:t>Right to Erasure / Be Forgotten</w:t>
      </w:r>
      <w:bookmarkEnd w:id="13"/>
    </w:p>
    <w:p w14:paraId="63AE27F7" w14:textId="77777777" w:rsidR="00500555" w:rsidRPr="00500555" w:rsidRDefault="00500555" w:rsidP="00500555">
      <w:pPr>
        <w:spacing w:before="100" w:beforeAutospacing="1" w:after="100" w:afterAutospacing="1"/>
        <w:rPr>
          <w:rFonts w:cs="Arial"/>
          <w:szCs w:val="24"/>
        </w:rPr>
      </w:pPr>
      <w:r w:rsidRPr="00500555">
        <w:rPr>
          <w:rFonts w:cs="Arial"/>
          <w:szCs w:val="24"/>
        </w:rPr>
        <w:t>In certain specific circumstances individuals can request deletion of their data.  It is to be recognised that the instances where this right will apply to data processed by the University will be very few as the University has a legal obligation to retain a central record of all staff and students.</w:t>
      </w:r>
    </w:p>
    <w:p w14:paraId="2B402C03" w14:textId="77777777" w:rsidR="00500555" w:rsidRPr="00500555" w:rsidRDefault="00500555" w:rsidP="00500555">
      <w:pPr>
        <w:pStyle w:val="Heading2"/>
        <w:rPr>
          <w:rFonts w:ascii="Arial" w:hAnsi="Arial" w:cs="Arial"/>
          <w:sz w:val="24"/>
          <w:szCs w:val="24"/>
        </w:rPr>
      </w:pPr>
      <w:bookmarkStart w:id="14" w:name="_Toc117514756"/>
      <w:r w:rsidRPr="00500555">
        <w:rPr>
          <w:rFonts w:ascii="Arial" w:hAnsi="Arial" w:cs="Arial"/>
          <w:sz w:val="24"/>
          <w:szCs w:val="24"/>
        </w:rPr>
        <w:t>Publication of University Information</w:t>
      </w:r>
      <w:bookmarkEnd w:id="14"/>
      <w:r w:rsidRPr="00500555">
        <w:rPr>
          <w:rFonts w:ascii="Arial" w:hAnsi="Arial" w:cs="Arial"/>
          <w:sz w:val="24"/>
          <w:szCs w:val="24"/>
        </w:rPr>
        <w:t xml:space="preserve"> </w:t>
      </w:r>
    </w:p>
    <w:p w14:paraId="57E53D8A"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Information that is already in the public domain is exempt from the Act and the GDPR. This would include, for example, information on staff contained within externally circulated publications such as the University’s Annual Report. Any individual who has good reason for wishing details in such publications to remain confidential should contact the University Data Protection Officer. </w:t>
      </w:r>
    </w:p>
    <w:p w14:paraId="1076B7CB" w14:textId="77777777" w:rsidR="00500555" w:rsidRPr="00500555" w:rsidRDefault="00500555" w:rsidP="00500555">
      <w:pPr>
        <w:pStyle w:val="Heading2"/>
        <w:rPr>
          <w:rFonts w:ascii="Arial" w:hAnsi="Arial" w:cs="Arial"/>
          <w:sz w:val="24"/>
          <w:szCs w:val="24"/>
        </w:rPr>
      </w:pPr>
      <w:bookmarkStart w:id="15" w:name="_Toc117514757"/>
      <w:r w:rsidRPr="00500555">
        <w:rPr>
          <w:rFonts w:ascii="Arial" w:hAnsi="Arial" w:cs="Arial"/>
          <w:sz w:val="24"/>
          <w:szCs w:val="24"/>
        </w:rPr>
        <w:t>Personal Research Data</w:t>
      </w:r>
      <w:bookmarkEnd w:id="15"/>
    </w:p>
    <w:p w14:paraId="3575A65C"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Staff are responsible for applying this policy to any personal data they acquire during research studies undertaken by themselves or by students under their supervision.  Any staff or student research project that collects personal data from participants in the study must have formal ethical approval before it begins.  Participants must be informed on how the data being collected will be stored, preserved and used int eh </w:t>
      </w:r>
      <w:r w:rsidRPr="00500555">
        <w:rPr>
          <w:rFonts w:cs="Arial"/>
          <w:szCs w:val="24"/>
        </w:rPr>
        <w:lastRenderedPageBreak/>
        <w:t>long erm, and give their consent to this use of their data.  Personal data collected during research studies should be held, where appropriate, in a fully anonymised form that protects the confidentiality of its participants.</w:t>
      </w:r>
    </w:p>
    <w:p w14:paraId="7D7BF96D" w14:textId="77777777" w:rsidR="00500555" w:rsidRPr="00500555" w:rsidRDefault="00500555" w:rsidP="00500555">
      <w:pPr>
        <w:pStyle w:val="Heading2"/>
        <w:rPr>
          <w:rFonts w:ascii="Arial" w:hAnsi="Arial" w:cs="Arial"/>
          <w:sz w:val="24"/>
          <w:szCs w:val="24"/>
        </w:rPr>
      </w:pPr>
      <w:bookmarkStart w:id="16" w:name="_Toc117514758"/>
      <w:r w:rsidRPr="00500555">
        <w:rPr>
          <w:rFonts w:ascii="Arial" w:hAnsi="Arial" w:cs="Arial"/>
          <w:sz w:val="24"/>
          <w:szCs w:val="24"/>
        </w:rPr>
        <w:t>Subject Consent</w:t>
      </w:r>
      <w:bookmarkEnd w:id="16"/>
      <w:r w:rsidRPr="00500555">
        <w:rPr>
          <w:rFonts w:ascii="Arial" w:hAnsi="Arial" w:cs="Arial"/>
          <w:sz w:val="24"/>
          <w:szCs w:val="24"/>
        </w:rPr>
        <w:t xml:space="preserve"> </w:t>
      </w:r>
    </w:p>
    <w:p w14:paraId="181CBAEB"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need to process data for normal purposes is communicated formally to all staff through the contract of employment, and to students at registration. In some cases, if the data is sensitive, for example information about health, race or gender, express consent to process the data must be obtained. Processing may be necessary to operate University policies, such as health and safety and equal opportunities. </w:t>
      </w:r>
    </w:p>
    <w:p w14:paraId="213B87A4" w14:textId="77777777" w:rsidR="00500555" w:rsidRPr="00500555" w:rsidRDefault="00500555" w:rsidP="00500555">
      <w:pPr>
        <w:pStyle w:val="Heading2"/>
        <w:rPr>
          <w:rFonts w:ascii="Arial" w:hAnsi="Arial" w:cs="Arial"/>
          <w:sz w:val="24"/>
          <w:szCs w:val="24"/>
        </w:rPr>
      </w:pPr>
      <w:bookmarkStart w:id="17" w:name="_Toc117514759"/>
      <w:r w:rsidRPr="00500555">
        <w:rPr>
          <w:rFonts w:ascii="Arial" w:hAnsi="Arial" w:cs="Arial"/>
          <w:sz w:val="24"/>
          <w:szCs w:val="24"/>
        </w:rPr>
        <w:t>Retention of Data</w:t>
      </w:r>
      <w:bookmarkEnd w:id="17"/>
      <w:r w:rsidRPr="00500555">
        <w:rPr>
          <w:rFonts w:ascii="Arial" w:hAnsi="Arial" w:cs="Arial"/>
          <w:sz w:val="24"/>
          <w:szCs w:val="24"/>
        </w:rPr>
        <w:t xml:space="preserve"> </w:t>
      </w:r>
    </w:p>
    <w:p w14:paraId="03CF4FE3" w14:textId="77777777" w:rsidR="00500555" w:rsidRPr="00500555" w:rsidRDefault="00500555" w:rsidP="00500555">
      <w:pPr>
        <w:spacing w:before="100" w:beforeAutospacing="1" w:after="100" w:afterAutospacing="1"/>
        <w:jc w:val="both"/>
        <w:rPr>
          <w:rFonts w:cs="Arial"/>
          <w:szCs w:val="24"/>
        </w:rPr>
      </w:pPr>
      <w:r w:rsidRPr="00500555">
        <w:rPr>
          <w:rFonts w:cs="Arial"/>
          <w:szCs w:val="24"/>
        </w:rPr>
        <w:t xml:space="preserve">The University will keep some forms of information for longer than others. The University has a Records Retention Schedule, which can be obtained via the web at </w:t>
      </w:r>
      <w:hyperlink r:id="rId11" w:history="1">
        <w:r w:rsidRPr="00500555">
          <w:rPr>
            <w:rStyle w:val="Hyperlink"/>
            <w:rFonts w:cs="Arial"/>
            <w:szCs w:val="24"/>
          </w:rPr>
          <w:t>https://go.edgehill.ac.uk/display/compliance/Information+Governance+Guidance+and+Policies</w:t>
        </w:r>
      </w:hyperlink>
    </w:p>
    <w:p w14:paraId="43385882" w14:textId="77777777" w:rsidR="00500555" w:rsidRPr="00500555" w:rsidRDefault="00500555" w:rsidP="00500555">
      <w:pPr>
        <w:pStyle w:val="Heading2"/>
        <w:rPr>
          <w:rFonts w:ascii="Arial" w:hAnsi="Arial" w:cs="Arial"/>
          <w:sz w:val="24"/>
          <w:szCs w:val="24"/>
        </w:rPr>
      </w:pPr>
      <w:bookmarkStart w:id="18" w:name="_Toc117514760"/>
      <w:r w:rsidRPr="00500555">
        <w:rPr>
          <w:rFonts w:ascii="Arial" w:hAnsi="Arial" w:cs="Arial"/>
          <w:sz w:val="24"/>
          <w:szCs w:val="24"/>
        </w:rPr>
        <w:t>Edge Hill Student Union</w:t>
      </w:r>
      <w:bookmarkEnd w:id="18"/>
    </w:p>
    <w:p w14:paraId="63A85109" w14:textId="77777777" w:rsidR="00500555" w:rsidRPr="00500555" w:rsidRDefault="00500555" w:rsidP="00500555">
      <w:pPr>
        <w:spacing w:before="100" w:beforeAutospacing="1" w:after="100" w:afterAutospacing="1"/>
        <w:ind w:right="-46"/>
        <w:jc w:val="both"/>
        <w:rPr>
          <w:rFonts w:cs="Arial"/>
          <w:szCs w:val="24"/>
        </w:rPr>
      </w:pPr>
      <w:r w:rsidRPr="00500555">
        <w:rPr>
          <w:rFonts w:cs="Arial"/>
          <w:bCs/>
          <w:color w:val="000000"/>
          <w:szCs w:val="24"/>
        </w:rPr>
        <w:t xml:space="preserve">The Edge Hill Students Union (EHSU) is a separate legal entity from Edge Hill University and therefore a separate data controller.  The University shares student personal data with EHSU </w:t>
      </w:r>
      <w:r w:rsidRPr="00500555">
        <w:rPr>
          <w:rFonts w:cs="Arial"/>
          <w:szCs w:val="24"/>
        </w:rPr>
        <w:t>in order for the Union to administer membership of EHSU and its clubs and societies, to communicate with members, to hold elections of officers, to ensure the safety and security of members (including identification of individual members), to provide welfare services, to market services provided directly by EHSU and to analyse EHSU service provision and membership needs.</w:t>
      </w:r>
    </w:p>
    <w:p w14:paraId="4B39AFFE" w14:textId="77777777" w:rsidR="00500555" w:rsidRPr="00500555" w:rsidRDefault="00500555" w:rsidP="00500555">
      <w:pPr>
        <w:pStyle w:val="Heading2"/>
        <w:rPr>
          <w:rFonts w:ascii="Arial" w:hAnsi="Arial" w:cs="Arial"/>
          <w:sz w:val="24"/>
          <w:szCs w:val="24"/>
        </w:rPr>
      </w:pPr>
      <w:r w:rsidRPr="00500555">
        <w:rPr>
          <w:rFonts w:ascii="Arial" w:hAnsi="Arial" w:cs="Arial"/>
          <w:sz w:val="24"/>
          <w:szCs w:val="24"/>
        </w:rPr>
        <w:t xml:space="preserve"> </w:t>
      </w:r>
      <w:bookmarkStart w:id="19" w:name="_Toc117514761"/>
      <w:r w:rsidRPr="00500555">
        <w:rPr>
          <w:rFonts w:ascii="Arial" w:hAnsi="Arial" w:cs="Arial"/>
          <w:sz w:val="24"/>
          <w:szCs w:val="24"/>
        </w:rPr>
        <w:t>Use of CCTV</w:t>
      </w:r>
      <w:bookmarkEnd w:id="19"/>
    </w:p>
    <w:p w14:paraId="7F21886C" w14:textId="77777777"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 xml:space="preserve">The University’s use of CCTV is regulated by a separate Code of Practice.  Edge Hill University has in place and is further developing its CCTV surveillance system, for reasons of personal security and to protect University premises and the property of staff and students. </w:t>
      </w:r>
    </w:p>
    <w:p w14:paraId="447B9FAE" w14:textId="77777777" w:rsidR="00500555" w:rsidRPr="00500555" w:rsidRDefault="00500555" w:rsidP="00500555">
      <w:pPr>
        <w:spacing w:before="100" w:beforeAutospacing="1" w:after="100" w:afterAutospacing="1"/>
        <w:ind w:right="-46"/>
        <w:jc w:val="both"/>
        <w:rPr>
          <w:rFonts w:cs="Arial"/>
          <w:b/>
          <w:bCs/>
          <w:color w:val="000000"/>
          <w:szCs w:val="24"/>
        </w:rPr>
      </w:pPr>
      <w:r w:rsidRPr="00500555">
        <w:rPr>
          <w:rFonts w:cs="Arial"/>
          <w:bCs/>
          <w:color w:val="000000"/>
          <w:szCs w:val="24"/>
        </w:rPr>
        <w:t>CCTV images if they show a recognisable person are personal data and covered by the Data Protection Act.  This Policy is associated with Edge Hill University CCTV Policy.</w:t>
      </w:r>
    </w:p>
    <w:p w14:paraId="55A9A735" w14:textId="77777777" w:rsidR="00500555" w:rsidRPr="00500555" w:rsidRDefault="00500555" w:rsidP="00500555">
      <w:pPr>
        <w:pStyle w:val="Heading2"/>
        <w:rPr>
          <w:rFonts w:ascii="Arial" w:hAnsi="Arial" w:cs="Arial"/>
          <w:sz w:val="24"/>
          <w:szCs w:val="24"/>
        </w:rPr>
      </w:pPr>
      <w:r w:rsidRPr="00500555">
        <w:rPr>
          <w:rFonts w:ascii="Arial" w:hAnsi="Arial" w:cs="Arial"/>
          <w:sz w:val="24"/>
          <w:szCs w:val="24"/>
        </w:rPr>
        <w:t xml:space="preserve"> </w:t>
      </w:r>
      <w:bookmarkStart w:id="20" w:name="_Toc117514762"/>
      <w:r w:rsidRPr="00500555">
        <w:rPr>
          <w:rFonts w:ascii="Arial" w:hAnsi="Arial" w:cs="Arial"/>
          <w:sz w:val="24"/>
          <w:szCs w:val="24"/>
        </w:rPr>
        <w:t>Notification to the Information Commissioner’s Office (ICO)</w:t>
      </w:r>
      <w:bookmarkEnd w:id="20"/>
    </w:p>
    <w:p w14:paraId="688083A7" w14:textId="4838D702"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 xml:space="preserve">The Act specifies arrangements for the notification of processing undertaken by the University.  The University has a wide-ranging notification, which can be accessed online, reference number Z5265461.  Any member of staff who is uncertain as to </w:t>
      </w:r>
      <w:r w:rsidRPr="00500555">
        <w:rPr>
          <w:rFonts w:cs="Arial"/>
          <w:bCs/>
          <w:color w:val="000000"/>
          <w:szCs w:val="24"/>
        </w:rPr>
        <w:lastRenderedPageBreak/>
        <w:t xml:space="preserve">whether their activities are included in the University’s notification should contact the Data Protection Officer in the first instance.  </w:t>
      </w:r>
    </w:p>
    <w:p w14:paraId="254790FC" w14:textId="5324CB9C"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The Act obliges the University to provide a complete description of all personal data – its use, purposes, disclosures and sources – to the Information Commissioner, and imposes criminal liability where obligations are neglected.  The University notifies the ICO of its personal data processing activities annually.  The notification process includes informing the ICO of the following:</w:t>
      </w:r>
    </w:p>
    <w:p w14:paraId="4591DBED" w14:textId="77777777" w:rsidR="00500555" w:rsidRPr="00500555" w:rsidRDefault="00500555" w:rsidP="00500555">
      <w:pPr>
        <w:numPr>
          <w:ilvl w:val="0"/>
          <w:numId w:val="7"/>
        </w:numPr>
        <w:spacing w:before="100" w:beforeAutospacing="1" w:after="100" w:afterAutospacing="1" w:line="240" w:lineRule="auto"/>
        <w:ind w:left="0" w:right="-46" w:firstLine="426"/>
        <w:jc w:val="both"/>
        <w:rPr>
          <w:rFonts w:cs="Arial"/>
          <w:bCs/>
          <w:color w:val="000000"/>
          <w:szCs w:val="24"/>
        </w:rPr>
      </w:pPr>
      <w:r w:rsidRPr="00500555">
        <w:rPr>
          <w:rFonts w:cs="Arial"/>
          <w:bCs/>
          <w:color w:val="000000"/>
          <w:szCs w:val="24"/>
        </w:rPr>
        <w:t>The purpose for which the University processes personal data</w:t>
      </w:r>
    </w:p>
    <w:p w14:paraId="07AEFEC6" w14:textId="77777777" w:rsidR="00500555" w:rsidRPr="00500555" w:rsidRDefault="00500555" w:rsidP="00500555">
      <w:pPr>
        <w:numPr>
          <w:ilvl w:val="0"/>
          <w:numId w:val="7"/>
        </w:numPr>
        <w:spacing w:before="100" w:beforeAutospacing="1" w:after="100" w:afterAutospacing="1" w:line="240" w:lineRule="auto"/>
        <w:ind w:left="0" w:right="-46" w:firstLine="426"/>
        <w:jc w:val="both"/>
        <w:rPr>
          <w:rFonts w:cs="Arial"/>
          <w:bCs/>
          <w:color w:val="000000"/>
          <w:szCs w:val="24"/>
        </w:rPr>
      </w:pPr>
      <w:r w:rsidRPr="00500555">
        <w:rPr>
          <w:rFonts w:cs="Arial"/>
          <w:bCs/>
          <w:color w:val="000000"/>
          <w:szCs w:val="24"/>
        </w:rPr>
        <w:t>The types of individuals (data subjects) to whom this personal data relates</w:t>
      </w:r>
    </w:p>
    <w:p w14:paraId="5F70A614" w14:textId="77777777" w:rsidR="00500555" w:rsidRPr="00500555" w:rsidRDefault="00500555" w:rsidP="00500555">
      <w:pPr>
        <w:numPr>
          <w:ilvl w:val="0"/>
          <w:numId w:val="7"/>
        </w:numPr>
        <w:spacing w:before="100" w:beforeAutospacing="1" w:after="100" w:afterAutospacing="1" w:line="240" w:lineRule="auto"/>
        <w:ind w:left="0" w:right="-46" w:firstLine="426"/>
        <w:jc w:val="both"/>
        <w:rPr>
          <w:rFonts w:cs="Arial"/>
          <w:bCs/>
          <w:color w:val="000000"/>
          <w:szCs w:val="24"/>
        </w:rPr>
      </w:pPr>
      <w:r w:rsidRPr="00500555">
        <w:rPr>
          <w:rFonts w:cs="Arial"/>
          <w:bCs/>
          <w:color w:val="000000"/>
          <w:szCs w:val="24"/>
        </w:rPr>
        <w:t>The types of data (data classes) processed</w:t>
      </w:r>
    </w:p>
    <w:p w14:paraId="7FA03749" w14:textId="77777777" w:rsidR="00500555" w:rsidRPr="00500555" w:rsidRDefault="00500555" w:rsidP="00500555">
      <w:pPr>
        <w:numPr>
          <w:ilvl w:val="0"/>
          <w:numId w:val="7"/>
        </w:numPr>
        <w:spacing w:before="100" w:beforeAutospacing="1" w:after="100" w:afterAutospacing="1" w:line="240" w:lineRule="auto"/>
        <w:ind w:left="426" w:right="-46" w:firstLine="0"/>
        <w:jc w:val="both"/>
        <w:rPr>
          <w:rFonts w:cs="Arial"/>
          <w:bCs/>
          <w:color w:val="000000"/>
          <w:szCs w:val="24"/>
        </w:rPr>
      </w:pPr>
      <w:r w:rsidRPr="00500555">
        <w:rPr>
          <w:rFonts w:cs="Arial"/>
          <w:bCs/>
          <w:color w:val="000000"/>
          <w:szCs w:val="24"/>
        </w:rPr>
        <w:t xml:space="preserve">The individuals or organisation to who this personal data is disclosed, or intended to be disclosed </w:t>
      </w:r>
    </w:p>
    <w:p w14:paraId="4075EC8C" w14:textId="77777777" w:rsidR="00500555" w:rsidRPr="00500555" w:rsidRDefault="00500555" w:rsidP="00500555">
      <w:pPr>
        <w:numPr>
          <w:ilvl w:val="0"/>
          <w:numId w:val="7"/>
        </w:numPr>
        <w:spacing w:before="100" w:beforeAutospacing="1" w:after="100" w:afterAutospacing="1" w:line="240" w:lineRule="auto"/>
        <w:ind w:left="426" w:right="-46" w:firstLine="0"/>
        <w:jc w:val="both"/>
        <w:rPr>
          <w:rFonts w:cs="Arial"/>
          <w:bCs/>
          <w:color w:val="000000"/>
          <w:szCs w:val="24"/>
        </w:rPr>
      </w:pPr>
      <w:r w:rsidRPr="00500555">
        <w:rPr>
          <w:rFonts w:cs="Arial"/>
          <w:bCs/>
          <w:color w:val="000000"/>
          <w:szCs w:val="24"/>
        </w:rPr>
        <w:t>The countries or territories outside of the European Economic Area, if any, to which personal data is transferred, or intended to be transferred.</w:t>
      </w:r>
    </w:p>
    <w:p w14:paraId="0700889C" w14:textId="45A40FD7"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Staff must only process personal data for the purposes listed within the University’s current notification.  Processing undertaken outside the University’s notification is unlawful.</w:t>
      </w:r>
    </w:p>
    <w:p w14:paraId="53FEC341" w14:textId="1EDAD61D" w:rsidR="00500555" w:rsidRPr="00500555" w:rsidRDefault="00500555" w:rsidP="00500555">
      <w:pPr>
        <w:pStyle w:val="Heading2"/>
        <w:rPr>
          <w:rFonts w:ascii="Arial" w:hAnsi="Arial" w:cs="Arial"/>
          <w:sz w:val="24"/>
          <w:szCs w:val="24"/>
        </w:rPr>
      </w:pPr>
      <w:bookmarkStart w:id="21" w:name="_Toc117514763"/>
      <w:r w:rsidRPr="00500555">
        <w:rPr>
          <w:rFonts w:ascii="Arial" w:hAnsi="Arial" w:cs="Arial"/>
          <w:sz w:val="24"/>
          <w:szCs w:val="24"/>
        </w:rPr>
        <w:t>Data Breach Notification</w:t>
      </w:r>
      <w:bookmarkEnd w:id="21"/>
    </w:p>
    <w:p w14:paraId="5E0F5D0B" w14:textId="167F3AEE"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 xml:space="preserve">One of the requirements of current Data Protection legislation is that, by using appropriate technical and organisational measures, personal data shall be processed in a manner to ensure the appropriate security of the personal data, including protection against unauthorised or unlawful processing and against accidental loss, destruction or damage. </w:t>
      </w:r>
    </w:p>
    <w:p w14:paraId="222525A5" w14:textId="3926E1E1"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Article 4(12) of the GDPR defines a “personal data breach” as: “A breach of security leading to the accidental or unlawful destruction, loss, alteration, unauthorised disclosure of, or access to, personal data transmitted, stored or otherwise processed”.</w:t>
      </w:r>
    </w:p>
    <w:p w14:paraId="420081B9" w14:textId="3501EA73" w:rsidR="00500555" w:rsidRPr="00500555" w:rsidRDefault="00500555" w:rsidP="00500555">
      <w:pPr>
        <w:spacing w:before="100" w:beforeAutospacing="1" w:after="100" w:afterAutospacing="1"/>
        <w:ind w:right="-46"/>
        <w:jc w:val="both"/>
        <w:rPr>
          <w:rFonts w:cs="Arial"/>
          <w:bCs/>
          <w:color w:val="000000"/>
          <w:szCs w:val="24"/>
        </w:rPr>
      </w:pPr>
      <w:r w:rsidRPr="00500555">
        <w:rPr>
          <w:rFonts w:cs="Arial"/>
          <w:bCs/>
          <w:color w:val="000000"/>
          <w:szCs w:val="24"/>
        </w:rPr>
        <w:t>Data security breaches should be reported immediately to the Data Protection Office. The Data Breach reporting form (A</w:t>
      </w:r>
      <w:r>
        <w:rPr>
          <w:rFonts w:cs="Arial"/>
          <w:bCs/>
          <w:color w:val="000000"/>
          <w:szCs w:val="24"/>
        </w:rPr>
        <w:t>nnex</w:t>
      </w:r>
      <w:r w:rsidRPr="00500555">
        <w:rPr>
          <w:rFonts w:cs="Arial"/>
          <w:bCs/>
          <w:color w:val="000000"/>
          <w:szCs w:val="24"/>
        </w:rPr>
        <w:t xml:space="preserve"> 1) should be completed in all instances. The Data Protection Office will keep a log of this information. Further information regarding suspected breaches of personal data can be found in the University Data Security Breach Policy.</w:t>
      </w:r>
    </w:p>
    <w:p w14:paraId="3A8582AB" w14:textId="77777777" w:rsidR="00500555" w:rsidRPr="00500555" w:rsidRDefault="00500555" w:rsidP="00500555">
      <w:pPr>
        <w:pStyle w:val="Heading2"/>
        <w:rPr>
          <w:rFonts w:ascii="Arial" w:hAnsi="Arial" w:cs="Arial"/>
          <w:sz w:val="24"/>
          <w:szCs w:val="24"/>
        </w:rPr>
      </w:pPr>
      <w:bookmarkStart w:id="22" w:name="_Toc117514764"/>
      <w:r w:rsidRPr="00500555">
        <w:rPr>
          <w:rFonts w:ascii="Arial" w:hAnsi="Arial" w:cs="Arial"/>
          <w:sz w:val="24"/>
          <w:szCs w:val="24"/>
        </w:rPr>
        <w:t>Legitimate Interests</w:t>
      </w:r>
      <w:bookmarkEnd w:id="22"/>
    </w:p>
    <w:p w14:paraId="2EF2A43A" w14:textId="77777777" w:rsidR="00500555" w:rsidRPr="00500555" w:rsidRDefault="00500555" w:rsidP="00500555">
      <w:pPr>
        <w:spacing w:before="100" w:beforeAutospacing="1" w:after="100" w:afterAutospacing="1"/>
        <w:ind w:right="-46"/>
        <w:jc w:val="both"/>
        <w:rPr>
          <w:rFonts w:cs="Arial"/>
          <w:szCs w:val="24"/>
        </w:rPr>
      </w:pPr>
      <w:r w:rsidRPr="00500555">
        <w:rPr>
          <w:rFonts w:cs="Arial"/>
          <w:szCs w:val="24"/>
        </w:rPr>
        <w:t xml:space="preserve">The need to proves data for normal purposes has been communicated to all staff, in employee contracts and to students during induction and registration and in student contracts.  In some cases, if the data is sensitive for example information about health, race or gender, express consent to process data must be obtained.  Processing may </w:t>
      </w:r>
      <w:r w:rsidRPr="00500555">
        <w:rPr>
          <w:rFonts w:cs="Arial"/>
          <w:szCs w:val="24"/>
        </w:rPr>
        <w:lastRenderedPageBreak/>
        <w:t>be necessary to operate University policies, such a health and safety and equal opportunities.</w:t>
      </w:r>
    </w:p>
    <w:p w14:paraId="2D931133" w14:textId="77777777" w:rsidR="00500555" w:rsidRPr="00500555" w:rsidRDefault="00500555" w:rsidP="00500555">
      <w:pPr>
        <w:pStyle w:val="Heading2"/>
        <w:rPr>
          <w:rFonts w:ascii="Arial" w:hAnsi="Arial" w:cs="Arial"/>
          <w:sz w:val="24"/>
          <w:szCs w:val="24"/>
        </w:rPr>
      </w:pPr>
      <w:bookmarkStart w:id="23" w:name="_Toc117514765"/>
      <w:r w:rsidRPr="00500555">
        <w:rPr>
          <w:rFonts w:ascii="Arial" w:hAnsi="Arial" w:cs="Arial"/>
          <w:sz w:val="24"/>
          <w:szCs w:val="24"/>
        </w:rPr>
        <w:t>Third Party Providers</w:t>
      </w:r>
      <w:bookmarkEnd w:id="23"/>
    </w:p>
    <w:p w14:paraId="7E0799FB" w14:textId="77777777" w:rsidR="00500555" w:rsidRPr="00500555" w:rsidRDefault="00500555" w:rsidP="00500555">
      <w:pPr>
        <w:spacing w:before="100" w:beforeAutospacing="1" w:after="100" w:afterAutospacing="1"/>
        <w:ind w:right="-46"/>
        <w:jc w:val="both"/>
        <w:rPr>
          <w:rFonts w:cs="Arial"/>
          <w:szCs w:val="24"/>
        </w:rPr>
      </w:pPr>
      <w:r w:rsidRPr="00500555">
        <w:rPr>
          <w:rFonts w:cs="Arial"/>
          <w:szCs w:val="24"/>
        </w:rPr>
        <w:t>The University contracts with third parties certain functions that involve the processing of personal data.  It is a requirement in these circumstances for a written contract to exist between the University and the third party which specifies what processing the third party is authorised to undertake on behalf of the University and action the third party must take in the event of a security breach or a subject access request.</w:t>
      </w:r>
    </w:p>
    <w:p w14:paraId="04AB24D4" w14:textId="23B45745" w:rsidR="00500555" w:rsidRPr="00500555" w:rsidRDefault="00500555" w:rsidP="00500555">
      <w:pPr>
        <w:pStyle w:val="Heading2"/>
        <w:rPr>
          <w:rFonts w:ascii="Arial" w:hAnsi="Arial" w:cs="Arial"/>
          <w:sz w:val="24"/>
          <w:szCs w:val="24"/>
        </w:rPr>
      </w:pPr>
      <w:bookmarkStart w:id="24" w:name="_Toc117514766"/>
      <w:r w:rsidRPr="00500555">
        <w:rPr>
          <w:rFonts w:ascii="Arial" w:hAnsi="Arial" w:cs="Arial"/>
          <w:sz w:val="24"/>
          <w:szCs w:val="24"/>
        </w:rPr>
        <w:t>The University's Designated Data Controller</w:t>
      </w:r>
      <w:bookmarkEnd w:id="24"/>
      <w:r w:rsidRPr="00500555">
        <w:rPr>
          <w:rFonts w:ascii="Arial" w:hAnsi="Arial" w:cs="Arial"/>
          <w:sz w:val="24"/>
          <w:szCs w:val="24"/>
        </w:rPr>
        <w:t xml:space="preserve"> </w:t>
      </w:r>
    </w:p>
    <w:p w14:paraId="5884C66F" w14:textId="77777777" w:rsidR="00500555" w:rsidRPr="00500555" w:rsidRDefault="00500555" w:rsidP="00500555">
      <w:pPr>
        <w:pStyle w:val="Heading2"/>
        <w:rPr>
          <w:rFonts w:ascii="Arial" w:hAnsi="Arial" w:cs="Arial"/>
          <w:sz w:val="24"/>
          <w:szCs w:val="24"/>
        </w:rPr>
      </w:pPr>
    </w:p>
    <w:p w14:paraId="34B08932" w14:textId="77777777" w:rsidR="00500555" w:rsidRPr="00500555" w:rsidRDefault="00500555" w:rsidP="00500555">
      <w:pPr>
        <w:ind w:right="-46"/>
        <w:rPr>
          <w:rFonts w:cs="Arial"/>
          <w:szCs w:val="24"/>
        </w:rPr>
      </w:pPr>
      <w:r w:rsidRPr="00500555">
        <w:rPr>
          <w:rFonts w:cs="Arial"/>
          <w:szCs w:val="24"/>
        </w:rPr>
        <w:t>Further information, including Frequently Asked Questions and Guidance, can be found on the University’s Information Governance Intranet site.</w:t>
      </w:r>
    </w:p>
    <w:p w14:paraId="6013AE9D" w14:textId="77777777" w:rsidR="00500555" w:rsidRPr="00500555" w:rsidRDefault="00500555" w:rsidP="00500555">
      <w:pPr>
        <w:spacing w:after="960"/>
        <w:ind w:right="-46"/>
        <w:jc w:val="both"/>
        <w:rPr>
          <w:rFonts w:cs="Arial"/>
          <w:b/>
          <w:i/>
          <w:szCs w:val="24"/>
        </w:rPr>
      </w:pPr>
      <w:r w:rsidRPr="00500555">
        <w:rPr>
          <w:rFonts w:cs="Arial"/>
          <w:szCs w:val="24"/>
        </w:rPr>
        <w:t>The University is the data controller under the Act and is therefore ultimately responsible for implementation. However, day-to-day matters will be dealt with by the University Data Protection Office, dataprotection@edgehill.ac.uk.  Any questions or concerns about the interpretation or operation of this policy should be taken up in the first instance with the University Data Controller.</w:t>
      </w:r>
      <w:r w:rsidRPr="00500555">
        <w:rPr>
          <w:rFonts w:cs="Arial"/>
          <w:b/>
          <w:i/>
          <w:szCs w:val="24"/>
        </w:rPr>
        <w:t xml:space="preserve"> </w:t>
      </w:r>
    </w:p>
    <w:p w14:paraId="413660AB" w14:textId="7950EAE5" w:rsidR="00500555" w:rsidRPr="00500555" w:rsidRDefault="00500555" w:rsidP="00D84C7A">
      <w:pPr>
        <w:pStyle w:val="Heading1"/>
        <w:rPr>
          <w:rFonts w:ascii="Arial" w:hAnsi="Arial" w:cs="Arial"/>
          <w:sz w:val="24"/>
          <w:szCs w:val="24"/>
        </w:rPr>
      </w:pPr>
    </w:p>
    <w:p w14:paraId="30503D4B" w14:textId="70FDEBB5" w:rsidR="00500555" w:rsidRDefault="00500555" w:rsidP="00500555">
      <w:pPr>
        <w:rPr>
          <w:rFonts w:cs="Arial"/>
          <w:szCs w:val="24"/>
        </w:rPr>
      </w:pPr>
    </w:p>
    <w:p w14:paraId="5848645B" w14:textId="6C3EDC96" w:rsidR="00500555" w:rsidRDefault="00500555" w:rsidP="00500555">
      <w:pPr>
        <w:rPr>
          <w:rFonts w:cs="Arial"/>
          <w:szCs w:val="24"/>
        </w:rPr>
      </w:pPr>
    </w:p>
    <w:p w14:paraId="42A1450D" w14:textId="3FE2E68E" w:rsidR="00500555" w:rsidRDefault="00500555" w:rsidP="00500555">
      <w:pPr>
        <w:rPr>
          <w:rFonts w:cs="Arial"/>
          <w:szCs w:val="24"/>
        </w:rPr>
      </w:pPr>
    </w:p>
    <w:p w14:paraId="7EB39F76" w14:textId="4BF975D1" w:rsidR="00500555" w:rsidRDefault="00500555" w:rsidP="00500555">
      <w:pPr>
        <w:rPr>
          <w:rFonts w:cs="Arial"/>
          <w:szCs w:val="24"/>
        </w:rPr>
      </w:pPr>
    </w:p>
    <w:p w14:paraId="3C29A7D2" w14:textId="2517F56A" w:rsidR="00500555" w:rsidRDefault="00500555" w:rsidP="00500555">
      <w:pPr>
        <w:rPr>
          <w:rFonts w:cs="Arial"/>
          <w:szCs w:val="24"/>
        </w:rPr>
      </w:pPr>
    </w:p>
    <w:p w14:paraId="232E99FC" w14:textId="4DD60E0C" w:rsidR="00500555" w:rsidRDefault="00500555" w:rsidP="00500555">
      <w:pPr>
        <w:rPr>
          <w:rFonts w:cs="Arial"/>
          <w:szCs w:val="24"/>
        </w:rPr>
      </w:pPr>
    </w:p>
    <w:p w14:paraId="27E5B05D" w14:textId="31AB96A2" w:rsidR="00500555" w:rsidRDefault="00500555" w:rsidP="00500555">
      <w:pPr>
        <w:rPr>
          <w:rFonts w:cs="Arial"/>
          <w:szCs w:val="24"/>
        </w:rPr>
      </w:pPr>
    </w:p>
    <w:p w14:paraId="1EBE9D32" w14:textId="11A14090" w:rsidR="00500555" w:rsidRDefault="00500555" w:rsidP="00500555">
      <w:pPr>
        <w:rPr>
          <w:rFonts w:cs="Arial"/>
          <w:szCs w:val="24"/>
        </w:rPr>
      </w:pPr>
    </w:p>
    <w:p w14:paraId="72368D08" w14:textId="31CD5901" w:rsidR="00500555" w:rsidRDefault="00500555" w:rsidP="00500555">
      <w:pPr>
        <w:rPr>
          <w:rFonts w:cs="Arial"/>
          <w:szCs w:val="24"/>
        </w:rPr>
      </w:pPr>
    </w:p>
    <w:p w14:paraId="2DDC40D3" w14:textId="75AFA0BC" w:rsidR="00500555" w:rsidRDefault="00500555" w:rsidP="00500555">
      <w:pPr>
        <w:rPr>
          <w:rFonts w:cs="Arial"/>
          <w:szCs w:val="24"/>
        </w:rPr>
      </w:pPr>
    </w:p>
    <w:p w14:paraId="6DB65470" w14:textId="06D24E8B" w:rsidR="00500555" w:rsidRDefault="00500555" w:rsidP="00500555">
      <w:pPr>
        <w:rPr>
          <w:rFonts w:cs="Arial"/>
          <w:szCs w:val="24"/>
        </w:rPr>
      </w:pPr>
    </w:p>
    <w:p w14:paraId="4D1BD5BB" w14:textId="3FE3395B" w:rsidR="00500555" w:rsidRDefault="00500555" w:rsidP="00500555">
      <w:pPr>
        <w:rPr>
          <w:rFonts w:cs="Arial"/>
          <w:szCs w:val="24"/>
        </w:rPr>
      </w:pPr>
    </w:p>
    <w:p w14:paraId="489438B9" w14:textId="7A08098C" w:rsidR="00500555" w:rsidRPr="00F36FA2" w:rsidRDefault="00500555" w:rsidP="00500555">
      <w:pPr>
        <w:pStyle w:val="Heading2"/>
        <w:rPr>
          <w:rFonts w:ascii="Arial" w:hAnsi="Arial" w:cs="Arial"/>
          <w:sz w:val="24"/>
          <w:szCs w:val="24"/>
        </w:rPr>
      </w:pPr>
      <w:bookmarkStart w:id="25" w:name="_Toc117514767"/>
      <w:r w:rsidRPr="00F36FA2">
        <w:rPr>
          <w:rFonts w:ascii="Arial" w:hAnsi="Arial" w:cs="Arial"/>
          <w:sz w:val="24"/>
          <w:szCs w:val="24"/>
        </w:rPr>
        <w:lastRenderedPageBreak/>
        <w:t>Annexes</w:t>
      </w:r>
      <w:bookmarkEnd w:id="25"/>
    </w:p>
    <w:p w14:paraId="73C663C9" w14:textId="77777777" w:rsidR="00500555" w:rsidRPr="00F36FA2" w:rsidRDefault="00500555" w:rsidP="00500555">
      <w:pPr>
        <w:pStyle w:val="Heading3"/>
        <w:rPr>
          <w:rFonts w:ascii="Arial" w:hAnsi="Arial" w:cs="Arial"/>
        </w:rPr>
      </w:pPr>
    </w:p>
    <w:p w14:paraId="0325DE18" w14:textId="0BBC768D" w:rsidR="00500555" w:rsidRDefault="00500555" w:rsidP="00500555">
      <w:pPr>
        <w:pStyle w:val="Heading3"/>
        <w:rPr>
          <w:rFonts w:ascii="Arial" w:hAnsi="Arial" w:cs="Arial"/>
        </w:rPr>
      </w:pPr>
      <w:bookmarkStart w:id="26" w:name="_Toc117514768"/>
      <w:r w:rsidRPr="00F36FA2">
        <w:rPr>
          <w:rFonts w:ascii="Arial" w:hAnsi="Arial" w:cs="Arial"/>
        </w:rPr>
        <w:t>Data Breach Report Form</w:t>
      </w:r>
      <w:bookmarkEnd w:id="26"/>
    </w:p>
    <w:p w14:paraId="581CC355" w14:textId="77777777" w:rsidR="00F36FA2" w:rsidRPr="00F36FA2" w:rsidRDefault="00F36FA2" w:rsidP="00F36FA2"/>
    <w:p w14:paraId="5EC5F005" w14:textId="77777777" w:rsidR="00500555" w:rsidRPr="00F36FA2" w:rsidRDefault="00500555" w:rsidP="00500555">
      <w:pPr>
        <w:jc w:val="both"/>
        <w:rPr>
          <w:rFonts w:cs="Arial"/>
          <w:szCs w:val="24"/>
        </w:rPr>
      </w:pPr>
      <w:r w:rsidRPr="00F36FA2">
        <w:rPr>
          <w:rFonts w:cs="Arial"/>
          <w:szCs w:val="24"/>
        </w:rPr>
        <w:t>Please act promptly to report any data breaches.  If a breach is discovered, please notify the Head of Department/School immediately, complete Section 1 of this form and email it to the Data Protection Officer (dataprotection@edgehill.ac.uk).</w:t>
      </w:r>
    </w:p>
    <w:tbl>
      <w:tblPr>
        <w:tblStyle w:val="TableGridLight"/>
        <w:tblW w:w="0" w:type="auto"/>
        <w:tblLook w:val="04A0" w:firstRow="1" w:lastRow="0" w:firstColumn="1" w:lastColumn="0" w:noHBand="0" w:noVBand="1"/>
      </w:tblPr>
      <w:tblGrid>
        <w:gridCol w:w="4508"/>
        <w:gridCol w:w="4508"/>
      </w:tblGrid>
      <w:tr w:rsidR="00500555" w:rsidRPr="00F36FA2" w14:paraId="704568FE" w14:textId="77777777" w:rsidTr="00B7455A">
        <w:trPr>
          <w:tblHeader/>
        </w:trPr>
        <w:tc>
          <w:tcPr>
            <w:tcW w:w="4621" w:type="dxa"/>
          </w:tcPr>
          <w:p w14:paraId="6A95DD96" w14:textId="77777777" w:rsidR="00500555" w:rsidRPr="00B7455A" w:rsidRDefault="00500555" w:rsidP="00CF0356">
            <w:pPr>
              <w:jc w:val="both"/>
              <w:rPr>
                <w:rFonts w:cs="Arial"/>
                <w:b/>
                <w:sz w:val="22"/>
              </w:rPr>
            </w:pPr>
            <w:r w:rsidRPr="00B7455A">
              <w:rPr>
                <w:rFonts w:cs="Arial"/>
                <w:b/>
                <w:sz w:val="22"/>
              </w:rPr>
              <w:t xml:space="preserve">Section 1:  </w:t>
            </w:r>
            <w:r w:rsidRPr="00B7455A">
              <w:rPr>
                <w:rFonts w:cs="Arial"/>
                <w:sz w:val="22"/>
              </w:rPr>
              <w:t>Notification of Data Security Breach</w:t>
            </w:r>
          </w:p>
        </w:tc>
        <w:tc>
          <w:tcPr>
            <w:tcW w:w="4621" w:type="dxa"/>
          </w:tcPr>
          <w:p w14:paraId="1262B84F" w14:textId="77777777" w:rsidR="00500555" w:rsidRPr="00B7455A" w:rsidRDefault="00500555" w:rsidP="00CF0356">
            <w:pPr>
              <w:jc w:val="both"/>
              <w:rPr>
                <w:rFonts w:cs="Arial"/>
                <w:b/>
                <w:sz w:val="22"/>
              </w:rPr>
            </w:pPr>
            <w:r w:rsidRPr="00B7455A">
              <w:rPr>
                <w:rFonts w:cs="Arial"/>
                <w:b/>
                <w:sz w:val="22"/>
              </w:rPr>
              <w:t>To be completed by HOD of the person reporting the incident</w:t>
            </w:r>
          </w:p>
        </w:tc>
      </w:tr>
      <w:tr w:rsidR="00500555" w:rsidRPr="00F36FA2" w14:paraId="6F75B0CD" w14:textId="77777777" w:rsidTr="00CF0356">
        <w:tc>
          <w:tcPr>
            <w:tcW w:w="4621" w:type="dxa"/>
          </w:tcPr>
          <w:p w14:paraId="31D9BE41" w14:textId="77777777" w:rsidR="00500555" w:rsidRPr="00B7455A" w:rsidRDefault="00500555" w:rsidP="00CF0356">
            <w:pPr>
              <w:jc w:val="both"/>
              <w:rPr>
                <w:rFonts w:cs="Arial"/>
                <w:sz w:val="22"/>
              </w:rPr>
            </w:pPr>
            <w:r w:rsidRPr="00B7455A">
              <w:rPr>
                <w:rFonts w:cs="Arial"/>
                <w:sz w:val="22"/>
              </w:rPr>
              <w:t>Date incident was discovered:</w:t>
            </w:r>
          </w:p>
        </w:tc>
        <w:tc>
          <w:tcPr>
            <w:tcW w:w="4621" w:type="dxa"/>
          </w:tcPr>
          <w:p w14:paraId="09647F56" w14:textId="77777777" w:rsidR="00500555" w:rsidRPr="00B7455A" w:rsidRDefault="00500555" w:rsidP="00CF0356">
            <w:pPr>
              <w:jc w:val="both"/>
              <w:rPr>
                <w:rFonts w:cs="Arial"/>
                <w:sz w:val="22"/>
              </w:rPr>
            </w:pPr>
          </w:p>
        </w:tc>
      </w:tr>
      <w:tr w:rsidR="00500555" w:rsidRPr="00F36FA2" w14:paraId="26C333F0" w14:textId="77777777" w:rsidTr="00CF0356">
        <w:tc>
          <w:tcPr>
            <w:tcW w:w="4621" w:type="dxa"/>
          </w:tcPr>
          <w:p w14:paraId="110C88E9" w14:textId="77777777" w:rsidR="00500555" w:rsidRPr="00B7455A" w:rsidRDefault="00500555" w:rsidP="00CF0356">
            <w:pPr>
              <w:jc w:val="both"/>
              <w:rPr>
                <w:rFonts w:cs="Arial"/>
                <w:sz w:val="22"/>
              </w:rPr>
            </w:pPr>
            <w:r w:rsidRPr="00B7455A">
              <w:rPr>
                <w:rFonts w:cs="Arial"/>
                <w:sz w:val="22"/>
              </w:rPr>
              <w:t>Date(s) of incident:</w:t>
            </w:r>
          </w:p>
        </w:tc>
        <w:tc>
          <w:tcPr>
            <w:tcW w:w="4621" w:type="dxa"/>
          </w:tcPr>
          <w:p w14:paraId="28ECFD6E" w14:textId="77777777" w:rsidR="00500555" w:rsidRPr="00B7455A" w:rsidRDefault="00500555" w:rsidP="00CF0356">
            <w:pPr>
              <w:jc w:val="both"/>
              <w:rPr>
                <w:rFonts w:cs="Arial"/>
                <w:sz w:val="22"/>
              </w:rPr>
            </w:pPr>
          </w:p>
        </w:tc>
      </w:tr>
      <w:tr w:rsidR="00500555" w:rsidRPr="00F36FA2" w14:paraId="21CB3035" w14:textId="77777777" w:rsidTr="00CF0356">
        <w:tc>
          <w:tcPr>
            <w:tcW w:w="4621" w:type="dxa"/>
          </w:tcPr>
          <w:p w14:paraId="29AC42E6" w14:textId="77777777" w:rsidR="00500555" w:rsidRPr="00B7455A" w:rsidRDefault="00500555" w:rsidP="00CF0356">
            <w:pPr>
              <w:jc w:val="both"/>
              <w:rPr>
                <w:rFonts w:cs="Arial"/>
                <w:sz w:val="22"/>
              </w:rPr>
            </w:pPr>
            <w:r w:rsidRPr="00B7455A">
              <w:rPr>
                <w:rFonts w:cs="Arial"/>
                <w:sz w:val="22"/>
              </w:rPr>
              <w:t>Place of incident:</w:t>
            </w:r>
          </w:p>
        </w:tc>
        <w:tc>
          <w:tcPr>
            <w:tcW w:w="4621" w:type="dxa"/>
          </w:tcPr>
          <w:p w14:paraId="508F3AAF" w14:textId="77777777" w:rsidR="00500555" w:rsidRPr="00B7455A" w:rsidRDefault="00500555" w:rsidP="00CF0356">
            <w:pPr>
              <w:jc w:val="both"/>
              <w:rPr>
                <w:rFonts w:cs="Arial"/>
                <w:sz w:val="22"/>
              </w:rPr>
            </w:pPr>
          </w:p>
        </w:tc>
      </w:tr>
      <w:tr w:rsidR="00500555" w:rsidRPr="00F36FA2" w14:paraId="5DAAE3DE" w14:textId="77777777" w:rsidTr="00CF0356">
        <w:tc>
          <w:tcPr>
            <w:tcW w:w="4621" w:type="dxa"/>
          </w:tcPr>
          <w:p w14:paraId="0B05128F" w14:textId="77777777" w:rsidR="00500555" w:rsidRPr="00B7455A" w:rsidRDefault="00500555" w:rsidP="00CF0356">
            <w:pPr>
              <w:jc w:val="both"/>
              <w:rPr>
                <w:rFonts w:cs="Arial"/>
                <w:sz w:val="22"/>
              </w:rPr>
            </w:pPr>
            <w:r w:rsidRPr="00B7455A">
              <w:rPr>
                <w:rFonts w:cs="Arial"/>
                <w:sz w:val="22"/>
              </w:rPr>
              <w:t>Name of person reporting incident:</w:t>
            </w:r>
          </w:p>
        </w:tc>
        <w:tc>
          <w:tcPr>
            <w:tcW w:w="4621" w:type="dxa"/>
          </w:tcPr>
          <w:p w14:paraId="5CA5BF5B" w14:textId="77777777" w:rsidR="00500555" w:rsidRPr="00B7455A" w:rsidRDefault="00500555" w:rsidP="00CF0356">
            <w:pPr>
              <w:jc w:val="both"/>
              <w:rPr>
                <w:rFonts w:cs="Arial"/>
                <w:sz w:val="22"/>
              </w:rPr>
            </w:pPr>
          </w:p>
        </w:tc>
      </w:tr>
      <w:tr w:rsidR="00500555" w:rsidRPr="00F36FA2" w14:paraId="2ACDE5FE" w14:textId="77777777" w:rsidTr="00CF0356">
        <w:tc>
          <w:tcPr>
            <w:tcW w:w="4621" w:type="dxa"/>
          </w:tcPr>
          <w:p w14:paraId="7FF4A55E" w14:textId="77777777" w:rsidR="00500555" w:rsidRPr="00B7455A" w:rsidRDefault="00500555" w:rsidP="00CF0356">
            <w:pPr>
              <w:jc w:val="both"/>
              <w:rPr>
                <w:rFonts w:cs="Arial"/>
                <w:sz w:val="22"/>
              </w:rPr>
            </w:pPr>
            <w:r w:rsidRPr="00B7455A">
              <w:rPr>
                <w:rFonts w:cs="Arial"/>
                <w:sz w:val="22"/>
              </w:rPr>
              <w:t>Contact details of person reporting incident (email address, telephone number):</w:t>
            </w:r>
          </w:p>
        </w:tc>
        <w:tc>
          <w:tcPr>
            <w:tcW w:w="4621" w:type="dxa"/>
          </w:tcPr>
          <w:p w14:paraId="677912AA" w14:textId="77777777" w:rsidR="00500555" w:rsidRPr="00B7455A" w:rsidRDefault="00500555" w:rsidP="00CF0356">
            <w:pPr>
              <w:jc w:val="both"/>
              <w:rPr>
                <w:rFonts w:cs="Arial"/>
                <w:sz w:val="22"/>
              </w:rPr>
            </w:pPr>
          </w:p>
        </w:tc>
      </w:tr>
      <w:tr w:rsidR="00500555" w:rsidRPr="00F36FA2" w14:paraId="43D02E4C" w14:textId="77777777" w:rsidTr="00CF0356">
        <w:tc>
          <w:tcPr>
            <w:tcW w:w="4621" w:type="dxa"/>
          </w:tcPr>
          <w:p w14:paraId="37FCF9C5" w14:textId="77777777" w:rsidR="00500555" w:rsidRPr="00B7455A" w:rsidRDefault="00500555" w:rsidP="00CF0356">
            <w:pPr>
              <w:jc w:val="both"/>
              <w:rPr>
                <w:rFonts w:cs="Arial"/>
                <w:sz w:val="22"/>
              </w:rPr>
            </w:pPr>
            <w:r w:rsidRPr="00B7455A">
              <w:rPr>
                <w:rFonts w:cs="Arial"/>
                <w:sz w:val="22"/>
              </w:rPr>
              <w:t>Brief description of incident or details of the information lost:</w:t>
            </w:r>
          </w:p>
        </w:tc>
        <w:tc>
          <w:tcPr>
            <w:tcW w:w="4621" w:type="dxa"/>
          </w:tcPr>
          <w:p w14:paraId="7F06D2C1" w14:textId="77777777" w:rsidR="00500555" w:rsidRPr="00B7455A" w:rsidRDefault="00500555" w:rsidP="00CF0356">
            <w:pPr>
              <w:jc w:val="both"/>
              <w:rPr>
                <w:rFonts w:cs="Arial"/>
                <w:sz w:val="22"/>
              </w:rPr>
            </w:pPr>
          </w:p>
        </w:tc>
      </w:tr>
      <w:tr w:rsidR="00500555" w:rsidRPr="00F36FA2" w14:paraId="038B0D7D" w14:textId="77777777" w:rsidTr="00CF0356">
        <w:tc>
          <w:tcPr>
            <w:tcW w:w="4621" w:type="dxa"/>
          </w:tcPr>
          <w:p w14:paraId="248D00F0" w14:textId="77777777" w:rsidR="00500555" w:rsidRPr="00B7455A" w:rsidRDefault="00500555" w:rsidP="00CF0356">
            <w:pPr>
              <w:jc w:val="both"/>
              <w:rPr>
                <w:rFonts w:cs="Arial"/>
                <w:sz w:val="22"/>
              </w:rPr>
            </w:pPr>
            <w:r w:rsidRPr="00B7455A">
              <w:rPr>
                <w:rFonts w:cs="Arial"/>
                <w:sz w:val="22"/>
              </w:rPr>
              <w:t>Number of Data Subjects affected, if known:</w:t>
            </w:r>
          </w:p>
        </w:tc>
        <w:tc>
          <w:tcPr>
            <w:tcW w:w="4621" w:type="dxa"/>
          </w:tcPr>
          <w:p w14:paraId="5069BD2B" w14:textId="77777777" w:rsidR="00500555" w:rsidRPr="00B7455A" w:rsidRDefault="00500555" w:rsidP="00CF0356">
            <w:pPr>
              <w:jc w:val="both"/>
              <w:rPr>
                <w:rFonts w:cs="Arial"/>
                <w:sz w:val="22"/>
              </w:rPr>
            </w:pPr>
          </w:p>
        </w:tc>
      </w:tr>
      <w:tr w:rsidR="00500555" w:rsidRPr="00F36FA2" w14:paraId="49B2D5A1" w14:textId="77777777" w:rsidTr="00CF0356">
        <w:tc>
          <w:tcPr>
            <w:tcW w:w="4621" w:type="dxa"/>
          </w:tcPr>
          <w:p w14:paraId="08913959" w14:textId="77777777" w:rsidR="00500555" w:rsidRPr="00B7455A" w:rsidRDefault="00500555" w:rsidP="00CF0356">
            <w:pPr>
              <w:jc w:val="both"/>
              <w:rPr>
                <w:rFonts w:cs="Arial"/>
                <w:sz w:val="22"/>
              </w:rPr>
            </w:pPr>
            <w:r w:rsidRPr="00B7455A">
              <w:rPr>
                <w:rFonts w:cs="Arial"/>
                <w:sz w:val="22"/>
              </w:rPr>
              <w:t>Has any personal data been placed at risk? If, so please provide details:</w:t>
            </w:r>
          </w:p>
        </w:tc>
        <w:tc>
          <w:tcPr>
            <w:tcW w:w="4621" w:type="dxa"/>
          </w:tcPr>
          <w:p w14:paraId="4651C301" w14:textId="77777777" w:rsidR="00500555" w:rsidRPr="00B7455A" w:rsidRDefault="00500555" w:rsidP="00CF0356">
            <w:pPr>
              <w:jc w:val="both"/>
              <w:rPr>
                <w:rFonts w:cs="Arial"/>
                <w:sz w:val="22"/>
              </w:rPr>
            </w:pPr>
          </w:p>
        </w:tc>
      </w:tr>
      <w:tr w:rsidR="00500555" w:rsidRPr="00F36FA2" w14:paraId="09657B5C" w14:textId="77777777" w:rsidTr="00CF0356">
        <w:tc>
          <w:tcPr>
            <w:tcW w:w="4621" w:type="dxa"/>
          </w:tcPr>
          <w:p w14:paraId="6CBA5A47" w14:textId="77777777" w:rsidR="00500555" w:rsidRPr="00B7455A" w:rsidRDefault="00500555" w:rsidP="00CF0356">
            <w:pPr>
              <w:jc w:val="both"/>
              <w:rPr>
                <w:rFonts w:cs="Arial"/>
                <w:sz w:val="22"/>
              </w:rPr>
            </w:pPr>
            <w:r w:rsidRPr="00B7455A">
              <w:rPr>
                <w:rFonts w:cs="Arial"/>
                <w:sz w:val="22"/>
              </w:rPr>
              <w:t xml:space="preserve">Brief description of any action taken at the time of discovery: </w:t>
            </w:r>
          </w:p>
        </w:tc>
        <w:tc>
          <w:tcPr>
            <w:tcW w:w="4621" w:type="dxa"/>
          </w:tcPr>
          <w:p w14:paraId="44263900" w14:textId="77777777" w:rsidR="00500555" w:rsidRPr="00B7455A" w:rsidRDefault="00500555" w:rsidP="00CF0356">
            <w:pPr>
              <w:jc w:val="both"/>
              <w:rPr>
                <w:rFonts w:cs="Arial"/>
                <w:sz w:val="22"/>
              </w:rPr>
            </w:pPr>
          </w:p>
        </w:tc>
      </w:tr>
      <w:tr w:rsidR="00500555" w:rsidRPr="00F36FA2" w14:paraId="52748914" w14:textId="77777777" w:rsidTr="00CF0356">
        <w:tc>
          <w:tcPr>
            <w:tcW w:w="4621" w:type="dxa"/>
          </w:tcPr>
          <w:p w14:paraId="153A4168" w14:textId="77777777" w:rsidR="00500555" w:rsidRPr="00B7455A" w:rsidRDefault="00500555" w:rsidP="00CF0356">
            <w:pPr>
              <w:jc w:val="both"/>
              <w:rPr>
                <w:rFonts w:cs="Arial"/>
                <w:b/>
                <w:sz w:val="22"/>
              </w:rPr>
            </w:pPr>
            <w:r w:rsidRPr="00B7455A">
              <w:rPr>
                <w:rFonts w:cs="Arial"/>
                <w:b/>
                <w:sz w:val="22"/>
              </w:rPr>
              <w:t>For use by the Data Protection Officer</w:t>
            </w:r>
          </w:p>
        </w:tc>
        <w:tc>
          <w:tcPr>
            <w:tcW w:w="4621" w:type="dxa"/>
          </w:tcPr>
          <w:p w14:paraId="76EBE31B" w14:textId="77777777" w:rsidR="00500555" w:rsidRPr="00B7455A" w:rsidRDefault="00500555" w:rsidP="00CF0356">
            <w:pPr>
              <w:jc w:val="both"/>
              <w:rPr>
                <w:rFonts w:cs="Arial"/>
                <w:sz w:val="22"/>
              </w:rPr>
            </w:pPr>
          </w:p>
        </w:tc>
      </w:tr>
      <w:tr w:rsidR="00500555" w:rsidRPr="00F36FA2" w14:paraId="236C8316" w14:textId="77777777" w:rsidTr="00CF0356">
        <w:tc>
          <w:tcPr>
            <w:tcW w:w="4621" w:type="dxa"/>
          </w:tcPr>
          <w:p w14:paraId="5BBBB149" w14:textId="77777777" w:rsidR="00500555" w:rsidRPr="00B7455A" w:rsidRDefault="00500555" w:rsidP="00CF0356">
            <w:pPr>
              <w:jc w:val="both"/>
              <w:rPr>
                <w:rFonts w:cs="Arial"/>
                <w:sz w:val="22"/>
              </w:rPr>
            </w:pPr>
            <w:r w:rsidRPr="00B7455A">
              <w:rPr>
                <w:rFonts w:cs="Arial"/>
                <w:sz w:val="22"/>
              </w:rPr>
              <w:t>Received by:</w:t>
            </w:r>
          </w:p>
        </w:tc>
        <w:tc>
          <w:tcPr>
            <w:tcW w:w="4621" w:type="dxa"/>
          </w:tcPr>
          <w:p w14:paraId="4A8D225F" w14:textId="77777777" w:rsidR="00500555" w:rsidRPr="00B7455A" w:rsidRDefault="00500555" w:rsidP="00CF0356">
            <w:pPr>
              <w:jc w:val="both"/>
              <w:rPr>
                <w:rFonts w:cs="Arial"/>
                <w:sz w:val="22"/>
              </w:rPr>
            </w:pPr>
          </w:p>
        </w:tc>
      </w:tr>
      <w:tr w:rsidR="00500555" w:rsidRPr="00F36FA2" w14:paraId="49C6100D" w14:textId="77777777" w:rsidTr="00CF0356">
        <w:tc>
          <w:tcPr>
            <w:tcW w:w="4621" w:type="dxa"/>
          </w:tcPr>
          <w:p w14:paraId="14ED9E0A" w14:textId="77777777" w:rsidR="00500555" w:rsidRPr="00B7455A" w:rsidRDefault="00500555" w:rsidP="00CF0356">
            <w:pPr>
              <w:jc w:val="both"/>
              <w:rPr>
                <w:rFonts w:cs="Arial"/>
                <w:sz w:val="22"/>
              </w:rPr>
            </w:pPr>
            <w:r w:rsidRPr="00B7455A">
              <w:rPr>
                <w:rFonts w:cs="Arial"/>
                <w:sz w:val="22"/>
              </w:rPr>
              <w:t>On (date):</w:t>
            </w:r>
          </w:p>
        </w:tc>
        <w:tc>
          <w:tcPr>
            <w:tcW w:w="4621" w:type="dxa"/>
          </w:tcPr>
          <w:p w14:paraId="7AD49E33" w14:textId="77777777" w:rsidR="00500555" w:rsidRPr="00B7455A" w:rsidRDefault="00500555" w:rsidP="00CF0356">
            <w:pPr>
              <w:jc w:val="both"/>
              <w:rPr>
                <w:rFonts w:cs="Arial"/>
                <w:sz w:val="22"/>
              </w:rPr>
            </w:pPr>
          </w:p>
        </w:tc>
      </w:tr>
      <w:tr w:rsidR="00500555" w:rsidRPr="00F36FA2" w14:paraId="62459B6E" w14:textId="77777777" w:rsidTr="00CF0356">
        <w:tc>
          <w:tcPr>
            <w:tcW w:w="4621" w:type="dxa"/>
          </w:tcPr>
          <w:p w14:paraId="4E629093" w14:textId="77777777" w:rsidR="00500555" w:rsidRPr="00B7455A" w:rsidRDefault="00500555" w:rsidP="00CF0356">
            <w:pPr>
              <w:jc w:val="both"/>
              <w:rPr>
                <w:rFonts w:cs="Arial"/>
                <w:sz w:val="22"/>
              </w:rPr>
            </w:pPr>
            <w:r w:rsidRPr="00B7455A">
              <w:rPr>
                <w:rFonts w:cs="Arial"/>
                <w:sz w:val="22"/>
              </w:rPr>
              <w:t>Forwarded for action to:</w:t>
            </w:r>
          </w:p>
        </w:tc>
        <w:tc>
          <w:tcPr>
            <w:tcW w:w="4621" w:type="dxa"/>
          </w:tcPr>
          <w:p w14:paraId="365126AD" w14:textId="77777777" w:rsidR="00500555" w:rsidRPr="00B7455A" w:rsidRDefault="00500555" w:rsidP="00CF0356">
            <w:pPr>
              <w:jc w:val="both"/>
              <w:rPr>
                <w:rFonts w:cs="Arial"/>
                <w:sz w:val="22"/>
              </w:rPr>
            </w:pPr>
          </w:p>
        </w:tc>
      </w:tr>
      <w:tr w:rsidR="00500555" w:rsidRPr="00F36FA2" w14:paraId="1396D54A" w14:textId="77777777" w:rsidTr="00CF0356">
        <w:tc>
          <w:tcPr>
            <w:tcW w:w="4621" w:type="dxa"/>
          </w:tcPr>
          <w:p w14:paraId="2368A9F9" w14:textId="77777777" w:rsidR="00500555" w:rsidRPr="00B7455A" w:rsidRDefault="00500555" w:rsidP="00CF0356">
            <w:pPr>
              <w:jc w:val="both"/>
              <w:rPr>
                <w:rFonts w:cs="Arial"/>
                <w:sz w:val="22"/>
              </w:rPr>
            </w:pPr>
            <w:r w:rsidRPr="00B7455A">
              <w:rPr>
                <w:rFonts w:cs="Arial"/>
                <w:sz w:val="22"/>
              </w:rPr>
              <w:t>On (date):</w:t>
            </w:r>
          </w:p>
        </w:tc>
        <w:tc>
          <w:tcPr>
            <w:tcW w:w="4621" w:type="dxa"/>
          </w:tcPr>
          <w:p w14:paraId="014D753A" w14:textId="77777777" w:rsidR="00500555" w:rsidRPr="00B7455A" w:rsidRDefault="00500555" w:rsidP="00CF0356">
            <w:pPr>
              <w:jc w:val="both"/>
              <w:rPr>
                <w:rFonts w:cs="Arial"/>
                <w:sz w:val="22"/>
              </w:rPr>
            </w:pPr>
          </w:p>
        </w:tc>
      </w:tr>
    </w:tbl>
    <w:p w14:paraId="63BC7FE7" w14:textId="02014096" w:rsidR="00B7455A" w:rsidRDefault="00B7455A" w:rsidP="00500555">
      <w:pPr>
        <w:jc w:val="both"/>
        <w:rPr>
          <w:rFonts w:cs="Arial"/>
          <w:szCs w:val="24"/>
        </w:rPr>
      </w:pPr>
    </w:p>
    <w:p w14:paraId="051773AB" w14:textId="77777777" w:rsidR="00B7455A" w:rsidRDefault="00B7455A">
      <w:pPr>
        <w:rPr>
          <w:rFonts w:cs="Arial"/>
          <w:szCs w:val="24"/>
        </w:rPr>
      </w:pPr>
      <w:r>
        <w:rPr>
          <w:rFonts w:cs="Arial"/>
          <w:szCs w:val="24"/>
        </w:rPr>
        <w:br w:type="page"/>
      </w:r>
    </w:p>
    <w:p w14:paraId="54E57689" w14:textId="77777777" w:rsidR="00500555" w:rsidRPr="00F36FA2" w:rsidRDefault="00500555" w:rsidP="00500555">
      <w:pPr>
        <w:jc w:val="both"/>
        <w:rPr>
          <w:rFonts w:cs="Arial"/>
          <w:szCs w:val="24"/>
        </w:rPr>
      </w:pPr>
    </w:p>
    <w:tbl>
      <w:tblPr>
        <w:tblStyle w:val="TableGridLight"/>
        <w:tblW w:w="0" w:type="auto"/>
        <w:tblLook w:val="04A0" w:firstRow="1" w:lastRow="0" w:firstColumn="1" w:lastColumn="0" w:noHBand="0" w:noVBand="1"/>
      </w:tblPr>
      <w:tblGrid>
        <w:gridCol w:w="4669"/>
        <w:gridCol w:w="4347"/>
      </w:tblGrid>
      <w:tr w:rsidR="00500555" w:rsidRPr="00F36FA2" w14:paraId="6D42F923" w14:textId="77777777" w:rsidTr="00B7455A">
        <w:trPr>
          <w:tblHeader/>
        </w:trPr>
        <w:tc>
          <w:tcPr>
            <w:tcW w:w="4786" w:type="dxa"/>
          </w:tcPr>
          <w:p w14:paraId="248B6D06" w14:textId="77777777" w:rsidR="00500555" w:rsidRPr="00B7455A" w:rsidRDefault="00500555" w:rsidP="00CF0356">
            <w:pPr>
              <w:jc w:val="both"/>
              <w:rPr>
                <w:rFonts w:cs="Arial"/>
                <w:b/>
                <w:sz w:val="22"/>
              </w:rPr>
            </w:pPr>
            <w:r w:rsidRPr="00B7455A">
              <w:rPr>
                <w:rFonts w:cs="Arial"/>
                <w:b/>
                <w:sz w:val="22"/>
              </w:rPr>
              <w:t xml:space="preserve">Section 2: </w:t>
            </w:r>
            <w:r w:rsidRPr="00B7455A">
              <w:rPr>
                <w:rFonts w:cs="Arial"/>
                <w:sz w:val="22"/>
              </w:rPr>
              <w:t>Assessment of Severity</w:t>
            </w:r>
          </w:p>
        </w:tc>
        <w:tc>
          <w:tcPr>
            <w:tcW w:w="4456" w:type="dxa"/>
          </w:tcPr>
          <w:p w14:paraId="13E2577C" w14:textId="77777777" w:rsidR="00500555" w:rsidRPr="00B7455A" w:rsidRDefault="00500555" w:rsidP="00CF0356">
            <w:pPr>
              <w:jc w:val="both"/>
              <w:rPr>
                <w:rFonts w:cs="Arial"/>
                <w:b/>
                <w:sz w:val="22"/>
              </w:rPr>
            </w:pPr>
            <w:r w:rsidRPr="00B7455A">
              <w:rPr>
                <w:rFonts w:cs="Arial"/>
                <w:b/>
                <w:sz w:val="22"/>
              </w:rPr>
              <w:t>To be completed by the Lead Investigation Officer in consultation with the Head of area affected by the breach</w:t>
            </w:r>
          </w:p>
        </w:tc>
      </w:tr>
      <w:tr w:rsidR="00500555" w:rsidRPr="00F36FA2" w14:paraId="01330F87" w14:textId="77777777" w:rsidTr="00CF0356">
        <w:tc>
          <w:tcPr>
            <w:tcW w:w="4786" w:type="dxa"/>
          </w:tcPr>
          <w:p w14:paraId="3D5CA80B" w14:textId="77777777" w:rsidR="00500555" w:rsidRPr="00B7455A" w:rsidRDefault="00500555" w:rsidP="00CF0356">
            <w:pPr>
              <w:jc w:val="both"/>
              <w:rPr>
                <w:rFonts w:cs="Arial"/>
                <w:sz w:val="22"/>
              </w:rPr>
            </w:pPr>
            <w:r w:rsidRPr="00B7455A">
              <w:rPr>
                <w:rFonts w:cs="Arial"/>
                <w:sz w:val="22"/>
              </w:rPr>
              <w:t>Details of the IT systems, equipment, devices, records involved in the security breach:</w:t>
            </w:r>
          </w:p>
        </w:tc>
        <w:tc>
          <w:tcPr>
            <w:tcW w:w="4456" w:type="dxa"/>
          </w:tcPr>
          <w:p w14:paraId="26A774A8" w14:textId="77777777" w:rsidR="00500555" w:rsidRPr="00B7455A" w:rsidRDefault="00500555" w:rsidP="00CF0356">
            <w:pPr>
              <w:jc w:val="both"/>
              <w:rPr>
                <w:rFonts w:cs="Arial"/>
                <w:sz w:val="22"/>
              </w:rPr>
            </w:pPr>
          </w:p>
        </w:tc>
      </w:tr>
      <w:tr w:rsidR="00500555" w:rsidRPr="00F36FA2" w14:paraId="6BA9FB72" w14:textId="77777777" w:rsidTr="00CF0356">
        <w:tc>
          <w:tcPr>
            <w:tcW w:w="4786" w:type="dxa"/>
          </w:tcPr>
          <w:p w14:paraId="1EE74DE4" w14:textId="77777777" w:rsidR="00500555" w:rsidRPr="00B7455A" w:rsidRDefault="00500555" w:rsidP="00CF0356">
            <w:pPr>
              <w:jc w:val="both"/>
              <w:rPr>
                <w:rFonts w:cs="Arial"/>
                <w:sz w:val="22"/>
              </w:rPr>
            </w:pPr>
            <w:r w:rsidRPr="00B7455A">
              <w:rPr>
                <w:rFonts w:cs="Arial"/>
                <w:sz w:val="22"/>
              </w:rPr>
              <w:t>Details of information loss:</w:t>
            </w:r>
          </w:p>
        </w:tc>
        <w:tc>
          <w:tcPr>
            <w:tcW w:w="4456" w:type="dxa"/>
          </w:tcPr>
          <w:p w14:paraId="2AA3DEE0" w14:textId="77777777" w:rsidR="00500555" w:rsidRPr="00B7455A" w:rsidRDefault="00500555" w:rsidP="00CF0356">
            <w:pPr>
              <w:jc w:val="both"/>
              <w:rPr>
                <w:rFonts w:cs="Arial"/>
                <w:sz w:val="22"/>
              </w:rPr>
            </w:pPr>
          </w:p>
        </w:tc>
      </w:tr>
      <w:tr w:rsidR="00500555" w:rsidRPr="00F36FA2" w14:paraId="142FF6C9" w14:textId="77777777" w:rsidTr="00CF0356">
        <w:tc>
          <w:tcPr>
            <w:tcW w:w="4786" w:type="dxa"/>
          </w:tcPr>
          <w:p w14:paraId="73203238" w14:textId="77777777" w:rsidR="00500555" w:rsidRPr="00B7455A" w:rsidRDefault="00500555" w:rsidP="00CF0356">
            <w:pPr>
              <w:jc w:val="both"/>
              <w:rPr>
                <w:rFonts w:cs="Arial"/>
                <w:sz w:val="22"/>
              </w:rPr>
            </w:pPr>
            <w:r w:rsidRPr="00B7455A">
              <w:rPr>
                <w:rFonts w:cs="Arial"/>
                <w:sz w:val="22"/>
              </w:rPr>
              <w:t>What is the nature of the information lost?</w:t>
            </w:r>
          </w:p>
        </w:tc>
        <w:tc>
          <w:tcPr>
            <w:tcW w:w="4456" w:type="dxa"/>
          </w:tcPr>
          <w:p w14:paraId="353382DC" w14:textId="77777777" w:rsidR="00500555" w:rsidRPr="00B7455A" w:rsidRDefault="00500555" w:rsidP="00CF0356">
            <w:pPr>
              <w:jc w:val="both"/>
              <w:rPr>
                <w:rFonts w:cs="Arial"/>
                <w:sz w:val="22"/>
              </w:rPr>
            </w:pPr>
          </w:p>
        </w:tc>
      </w:tr>
      <w:tr w:rsidR="00500555" w:rsidRPr="00F36FA2" w14:paraId="7E8F15A1" w14:textId="77777777" w:rsidTr="00CF0356">
        <w:tc>
          <w:tcPr>
            <w:tcW w:w="4786" w:type="dxa"/>
          </w:tcPr>
          <w:p w14:paraId="0F1B2DBA" w14:textId="77777777" w:rsidR="00500555" w:rsidRPr="00B7455A" w:rsidRDefault="00500555" w:rsidP="00CF0356">
            <w:pPr>
              <w:rPr>
                <w:rFonts w:cs="Arial"/>
                <w:sz w:val="22"/>
              </w:rPr>
            </w:pPr>
            <w:r w:rsidRPr="00B7455A">
              <w:rPr>
                <w:rFonts w:cs="Arial"/>
                <w:sz w:val="22"/>
              </w:rPr>
              <w:t xml:space="preserve">How much data has been lost? If laptop lost/stolen: how recently was the laptop backed up onto central IT systems? </w:t>
            </w:r>
          </w:p>
        </w:tc>
        <w:tc>
          <w:tcPr>
            <w:tcW w:w="4456" w:type="dxa"/>
          </w:tcPr>
          <w:p w14:paraId="20B5EE99" w14:textId="77777777" w:rsidR="00500555" w:rsidRPr="00B7455A" w:rsidRDefault="00500555" w:rsidP="00CF0356">
            <w:pPr>
              <w:jc w:val="both"/>
              <w:rPr>
                <w:rFonts w:cs="Arial"/>
                <w:sz w:val="22"/>
              </w:rPr>
            </w:pPr>
          </w:p>
        </w:tc>
      </w:tr>
      <w:tr w:rsidR="00500555" w:rsidRPr="00F36FA2" w14:paraId="0FB252EA" w14:textId="77777777" w:rsidTr="00CF0356">
        <w:tc>
          <w:tcPr>
            <w:tcW w:w="4786" w:type="dxa"/>
          </w:tcPr>
          <w:p w14:paraId="523DCE94" w14:textId="77777777" w:rsidR="00500555" w:rsidRPr="00B7455A" w:rsidRDefault="00500555" w:rsidP="00CF0356">
            <w:pPr>
              <w:jc w:val="both"/>
              <w:rPr>
                <w:rFonts w:cs="Arial"/>
                <w:sz w:val="22"/>
              </w:rPr>
            </w:pPr>
            <w:r w:rsidRPr="00B7455A">
              <w:rPr>
                <w:rFonts w:cs="Arial"/>
                <w:sz w:val="22"/>
              </w:rPr>
              <w:t>Is the information unique?  Will its loss have adverse operational, research, financial legal, liability or reputational consequences for the University or third parties?</w:t>
            </w:r>
          </w:p>
        </w:tc>
        <w:tc>
          <w:tcPr>
            <w:tcW w:w="4456" w:type="dxa"/>
          </w:tcPr>
          <w:p w14:paraId="282ADECE" w14:textId="77777777" w:rsidR="00500555" w:rsidRPr="00B7455A" w:rsidRDefault="00500555" w:rsidP="00CF0356">
            <w:pPr>
              <w:jc w:val="both"/>
              <w:rPr>
                <w:rFonts w:cs="Arial"/>
                <w:sz w:val="22"/>
              </w:rPr>
            </w:pPr>
          </w:p>
        </w:tc>
      </w:tr>
      <w:tr w:rsidR="00500555" w:rsidRPr="00F36FA2" w14:paraId="1D6A0D26" w14:textId="77777777" w:rsidTr="00CF0356">
        <w:tc>
          <w:tcPr>
            <w:tcW w:w="4786" w:type="dxa"/>
          </w:tcPr>
          <w:p w14:paraId="472398D3" w14:textId="77777777" w:rsidR="00500555" w:rsidRPr="00B7455A" w:rsidRDefault="00500555" w:rsidP="00CF0356">
            <w:pPr>
              <w:jc w:val="both"/>
              <w:rPr>
                <w:rFonts w:cs="Arial"/>
                <w:sz w:val="22"/>
              </w:rPr>
            </w:pPr>
            <w:r w:rsidRPr="00B7455A">
              <w:rPr>
                <w:rFonts w:cs="Arial"/>
                <w:sz w:val="22"/>
              </w:rPr>
              <w:t>How many data subjects are affected?</w:t>
            </w:r>
          </w:p>
        </w:tc>
        <w:tc>
          <w:tcPr>
            <w:tcW w:w="4456" w:type="dxa"/>
          </w:tcPr>
          <w:p w14:paraId="3BAAAADF" w14:textId="77777777" w:rsidR="00500555" w:rsidRPr="00B7455A" w:rsidRDefault="00500555" w:rsidP="00CF0356">
            <w:pPr>
              <w:jc w:val="both"/>
              <w:rPr>
                <w:rFonts w:cs="Arial"/>
                <w:sz w:val="22"/>
              </w:rPr>
            </w:pPr>
          </w:p>
        </w:tc>
      </w:tr>
      <w:tr w:rsidR="00500555" w:rsidRPr="00F36FA2" w14:paraId="3151FEE4" w14:textId="77777777" w:rsidTr="00CF0356">
        <w:tc>
          <w:tcPr>
            <w:tcW w:w="4786" w:type="dxa"/>
          </w:tcPr>
          <w:p w14:paraId="08872002" w14:textId="77777777" w:rsidR="00500555" w:rsidRPr="00B7455A" w:rsidRDefault="00500555" w:rsidP="00CF0356">
            <w:pPr>
              <w:jc w:val="both"/>
              <w:rPr>
                <w:rFonts w:cs="Arial"/>
                <w:sz w:val="22"/>
              </w:rPr>
            </w:pPr>
            <w:r w:rsidRPr="00B7455A">
              <w:rPr>
                <w:rFonts w:cs="Arial"/>
                <w:sz w:val="22"/>
              </w:rPr>
              <w:t>Is the data bound by any contractual security arrangements?</w:t>
            </w:r>
          </w:p>
        </w:tc>
        <w:tc>
          <w:tcPr>
            <w:tcW w:w="4456" w:type="dxa"/>
          </w:tcPr>
          <w:p w14:paraId="42E39EDB" w14:textId="77777777" w:rsidR="00500555" w:rsidRPr="00B7455A" w:rsidRDefault="00500555" w:rsidP="00CF0356">
            <w:pPr>
              <w:jc w:val="both"/>
              <w:rPr>
                <w:rFonts w:cs="Arial"/>
                <w:sz w:val="22"/>
              </w:rPr>
            </w:pPr>
          </w:p>
        </w:tc>
      </w:tr>
      <w:tr w:rsidR="00500555" w:rsidRPr="00F36FA2" w14:paraId="5ACFE082" w14:textId="77777777" w:rsidTr="00CF0356">
        <w:tc>
          <w:tcPr>
            <w:tcW w:w="4786" w:type="dxa"/>
          </w:tcPr>
          <w:p w14:paraId="31AC47AC" w14:textId="77777777" w:rsidR="00500555" w:rsidRPr="00B7455A" w:rsidRDefault="00500555" w:rsidP="00CF0356">
            <w:pPr>
              <w:jc w:val="both"/>
              <w:rPr>
                <w:rFonts w:cs="Arial"/>
                <w:sz w:val="22"/>
              </w:rPr>
            </w:pPr>
            <w:r w:rsidRPr="00B7455A">
              <w:rPr>
                <w:rFonts w:cs="Arial"/>
                <w:sz w:val="22"/>
              </w:rPr>
              <w:t>What is the nature of the sensitivity of the data?  Please provide details of any types of information that fall into any of the following categories:</w:t>
            </w:r>
          </w:p>
        </w:tc>
        <w:tc>
          <w:tcPr>
            <w:tcW w:w="4456" w:type="dxa"/>
          </w:tcPr>
          <w:p w14:paraId="394658F7" w14:textId="77777777" w:rsidR="00500555" w:rsidRPr="00B7455A" w:rsidRDefault="00500555" w:rsidP="00CF0356">
            <w:pPr>
              <w:jc w:val="both"/>
              <w:rPr>
                <w:rFonts w:cs="Arial"/>
                <w:sz w:val="22"/>
              </w:rPr>
            </w:pPr>
          </w:p>
        </w:tc>
      </w:tr>
      <w:tr w:rsidR="00500555" w:rsidRPr="00F36FA2" w14:paraId="55ED1CA3" w14:textId="77777777" w:rsidTr="00CF0356">
        <w:tc>
          <w:tcPr>
            <w:tcW w:w="4786" w:type="dxa"/>
          </w:tcPr>
          <w:p w14:paraId="73E4C0D4" w14:textId="77777777" w:rsidR="00500555" w:rsidRPr="00B7455A" w:rsidRDefault="00500555" w:rsidP="00CF0356">
            <w:pPr>
              <w:jc w:val="both"/>
              <w:rPr>
                <w:rFonts w:cs="Arial"/>
                <w:sz w:val="22"/>
              </w:rPr>
            </w:pPr>
            <w:r w:rsidRPr="00B7455A">
              <w:rPr>
                <w:rFonts w:cs="Arial"/>
                <w:b/>
                <w:sz w:val="22"/>
              </w:rPr>
              <w:t>HIGH RISK</w:t>
            </w:r>
            <w:r w:rsidRPr="00B7455A">
              <w:rPr>
                <w:rFonts w:cs="Arial"/>
                <w:sz w:val="22"/>
              </w:rPr>
              <w:t xml:space="preserve"> personal data  </w:t>
            </w:r>
          </w:p>
          <w:p w14:paraId="29C66A8C" w14:textId="77777777" w:rsidR="00500555" w:rsidRPr="00B7455A" w:rsidRDefault="00500555" w:rsidP="00CF0356">
            <w:pPr>
              <w:jc w:val="both"/>
              <w:rPr>
                <w:rFonts w:cs="Arial"/>
                <w:sz w:val="22"/>
              </w:rPr>
            </w:pPr>
            <w:r w:rsidRPr="00B7455A">
              <w:rPr>
                <w:rFonts w:cs="Arial"/>
                <w:sz w:val="22"/>
              </w:rPr>
              <w:t>• Special categories personal data (as defined in the Data Protection Legislation) relating to a living, identifiable individual’s a) racial or ethnic origin; b) political opinions or religious beliefs; c) trade union membership; d) genetics; e) biometrics (where used for ID purposes) f) health; g) sex life or sexual orientation</w:t>
            </w:r>
          </w:p>
        </w:tc>
        <w:tc>
          <w:tcPr>
            <w:tcW w:w="4456" w:type="dxa"/>
          </w:tcPr>
          <w:p w14:paraId="3BF23522" w14:textId="77777777" w:rsidR="00500555" w:rsidRPr="00B7455A" w:rsidRDefault="00500555" w:rsidP="00CF0356">
            <w:pPr>
              <w:jc w:val="both"/>
              <w:rPr>
                <w:rFonts w:cs="Arial"/>
                <w:sz w:val="22"/>
              </w:rPr>
            </w:pPr>
          </w:p>
        </w:tc>
      </w:tr>
      <w:tr w:rsidR="00500555" w:rsidRPr="00F36FA2" w14:paraId="70763686" w14:textId="77777777" w:rsidTr="00CF0356">
        <w:tc>
          <w:tcPr>
            <w:tcW w:w="4786" w:type="dxa"/>
          </w:tcPr>
          <w:p w14:paraId="04707767" w14:textId="77777777" w:rsidR="00500555" w:rsidRPr="00B7455A" w:rsidRDefault="00500555" w:rsidP="00CF0356">
            <w:pPr>
              <w:rPr>
                <w:rFonts w:cs="Arial"/>
                <w:sz w:val="22"/>
              </w:rPr>
            </w:pPr>
            <w:r w:rsidRPr="00B7455A">
              <w:rPr>
                <w:rFonts w:cs="Arial"/>
                <w:sz w:val="22"/>
              </w:rPr>
              <w:t>• Information that could be used to commit identity fraud such as; personal bank account and other financial information; national identifiers, such as National Insurance Number and copies of passports and visas;</w:t>
            </w:r>
          </w:p>
        </w:tc>
        <w:tc>
          <w:tcPr>
            <w:tcW w:w="4456" w:type="dxa"/>
          </w:tcPr>
          <w:p w14:paraId="69A16A41" w14:textId="77777777" w:rsidR="00500555" w:rsidRPr="00B7455A" w:rsidRDefault="00500555" w:rsidP="00CF0356">
            <w:pPr>
              <w:jc w:val="both"/>
              <w:rPr>
                <w:rFonts w:cs="Arial"/>
                <w:sz w:val="22"/>
              </w:rPr>
            </w:pPr>
          </w:p>
        </w:tc>
      </w:tr>
      <w:tr w:rsidR="00500555" w:rsidRPr="00F36FA2" w14:paraId="36A9A949" w14:textId="77777777" w:rsidTr="00CF0356">
        <w:tc>
          <w:tcPr>
            <w:tcW w:w="4786" w:type="dxa"/>
          </w:tcPr>
          <w:p w14:paraId="021696A3" w14:textId="77777777" w:rsidR="00500555" w:rsidRPr="00B7455A" w:rsidRDefault="00500555" w:rsidP="00CF0356">
            <w:pPr>
              <w:jc w:val="both"/>
              <w:rPr>
                <w:rFonts w:cs="Arial"/>
                <w:sz w:val="22"/>
              </w:rPr>
            </w:pPr>
            <w:r w:rsidRPr="00B7455A">
              <w:rPr>
                <w:rFonts w:cs="Arial"/>
                <w:sz w:val="22"/>
              </w:rPr>
              <w:t>• Personal information relating to vulnerable adults and children;</w:t>
            </w:r>
          </w:p>
        </w:tc>
        <w:tc>
          <w:tcPr>
            <w:tcW w:w="4456" w:type="dxa"/>
          </w:tcPr>
          <w:p w14:paraId="379DAAAE" w14:textId="77777777" w:rsidR="00500555" w:rsidRPr="00B7455A" w:rsidRDefault="00500555" w:rsidP="00CF0356">
            <w:pPr>
              <w:jc w:val="both"/>
              <w:rPr>
                <w:rFonts w:cs="Arial"/>
                <w:sz w:val="22"/>
              </w:rPr>
            </w:pPr>
          </w:p>
        </w:tc>
      </w:tr>
      <w:tr w:rsidR="00500555" w:rsidRPr="00F36FA2" w14:paraId="1C73ABAD" w14:textId="77777777" w:rsidTr="00CF0356">
        <w:tc>
          <w:tcPr>
            <w:tcW w:w="4786" w:type="dxa"/>
          </w:tcPr>
          <w:p w14:paraId="25D0185C" w14:textId="77777777" w:rsidR="00500555" w:rsidRPr="00B7455A" w:rsidRDefault="00500555" w:rsidP="00CF0356">
            <w:pPr>
              <w:jc w:val="both"/>
              <w:rPr>
                <w:rFonts w:cs="Arial"/>
                <w:sz w:val="22"/>
              </w:rPr>
            </w:pPr>
            <w:r w:rsidRPr="00B7455A">
              <w:rPr>
                <w:rFonts w:cs="Arial"/>
                <w:sz w:val="22"/>
              </w:rPr>
              <w:t>• Detailed profiles of individuals including information about work performance, salaries or personal life that would cause significant damage or distress to that person if disclosed;</w:t>
            </w:r>
          </w:p>
        </w:tc>
        <w:tc>
          <w:tcPr>
            <w:tcW w:w="4456" w:type="dxa"/>
          </w:tcPr>
          <w:p w14:paraId="3B4335CC" w14:textId="77777777" w:rsidR="00500555" w:rsidRPr="00B7455A" w:rsidRDefault="00500555" w:rsidP="00CF0356">
            <w:pPr>
              <w:jc w:val="both"/>
              <w:rPr>
                <w:rFonts w:cs="Arial"/>
                <w:sz w:val="22"/>
              </w:rPr>
            </w:pPr>
          </w:p>
        </w:tc>
      </w:tr>
      <w:tr w:rsidR="00500555" w:rsidRPr="00F36FA2" w14:paraId="7BC520E5" w14:textId="77777777" w:rsidTr="00CF0356">
        <w:tc>
          <w:tcPr>
            <w:tcW w:w="4786" w:type="dxa"/>
          </w:tcPr>
          <w:p w14:paraId="1C8DDA26" w14:textId="77777777" w:rsidR="00500555" w:rsidRPr="00B7455A" w:rsidRDefault="00500555" w:rsidP="00CF0356">
            <w:pPr>
              <w:rPr>
                <w:rFonts w:cs="Arial"/>
                <w:sz w:val="22"/>
              </w:rPr>
            </w:pPr>
            <w:r w:rsidRPr="00B7455A">
              <w:rPr>
                <w:rFonts w:cs="Arial"/>
                <w:sz w:val="22"/>
              </w:rPr>
              <w:t xml:space="preserve">• Spreadsheets of marks or grades obtained by students, information about individual cases of student discipline or sensitive negotiations which could adversely affect individuals. </w:t>
            </w:r>
          </w:p>
        </w:tc>
        <w:tc>
          <w:tcPr>
            <w:tcW w:w="4456" w:type="dxa"/>
          </w:tcPr>
          <w:p w14:paraId="08F6B687" w14:textId="77777777" w:rsidR="00500555" w:rsidRPr="00B7455A" w:rsidRDefault="00500555" w:rsidP="00CF0356">
            <w:pPr>
              <w:jc w:val="both"/>
              <w:rPr>
                <w:rFonts w:cs="Arial"/>
                <w:sz w:val="22"/>
              </w:rPr>
            </w:pPr>
          </w:p>
        </w:tc>
      </w:tr>
      <w:tr w:rsidR="00500555" w:rsidRPr="00F36FA2" w14:paraId="41885918" w14:textId="77777777" w:rsidTr="00CF0356">
        <w:tc>
          <w:tcPr>
            <w:tcW w:w="4786" w:type="dxa"/>
          </w:tcPr>
          <w:p w14:paraId="548BF8D0" w14:textId="77777777" w:rsidR="00500555" w:rsidRPr="00B7455A" w:rsidRDefault="00500555" w:rsidP="00CF0356">
            <w:pPr>
              <w:jc w:val="both"/>
              <w:rPr>
                <w:rFonts w:cs="Arial"/>
                <w:sz w:val="22"/>
              </w:rPr>
            </w:pPr>
            <w:r w:rsidRPr="00B7455A">
              <w:rPr>
                <w:rFonts w:cs="Arial"/>
                <w:sz w:val="22"/>
              </w:rPr>
              <w:t>• Security information that would compromise the safety of individuals if disclosed.</w:t>
            </w:r>
          </w:p>
        </w:tc>
        <w:tc>
          <w:tcPr>
            <w:tcW w:w="4456" w:type="dxa"/>
          </w:tcPr>
          <w:p w14:paraId="18D514B6" w14:textId="77777777" w:rsidR="00500555" w:rsidRPr="00B7455A" w:rsidRDefault="00500555" w:rsidP="00CF0356">
            <w:pPr>
              <w:jc w:val="both"/>
              <w:rPr>
                <w:rFonts w:cs="Arial"/>
                <w:sz w:val="22"/>
              </w:rPr>
            </w:pPr>
          </w:p>
        </w:tc>
      </w:tr>
    </w:tbl>
    <w:p w14:paraId="26CEB26E" w14:textId="77777777" w:rsidR="00500555" w:rsidRPr="00F36FA2" w:rsidRDefault="00500555" w:rsidP="00500555">
      <w:pPr>
        <w:jc w:val="both"/>
        <w:rPr>
          <w:rFonts w:cs="Arial"/>
          <w:szCs w:val="24"/>
        </w:rPr>
      </w:pPr>
    </w:p>
    <w:tbl>
      <w:tblPr>
        <w:tblStyle w:val="TableGridLight"/>
        <w:tblW w:w="0" w:type="auto"/>
        <w:tblLook w:val="04A0" w:firstRow="1" w:lastRow="0" w:firstColumn="1" w:lastColumn="0" w:noHBand="0" w:noVBand="1"/>
      </w:tblPr>
      <w:tblGrid>
        <w:gridCol w:w="4686"/>
        <w:gridCol w:w="4330"/>
      </w:tblGrid>
      <w:tr w:rsidR="00500555" w:rsidRPr="00B7455A" w14:paraId="30EB8037" w14:textId="77777777" w:rsidTr="00B7455A">
        <w:trPr>
          <w:trHeight w:val="751"/>
          <w:tblHeader/>
        </w:trPr>
        <w:tc>
          <w:tcPr>
            <w:tcW w:w="4786" w:type="dxa"/>
          </w:tcPr>
          <w:p w14:paraId="629FEF17" w14:textId="77777777" w:rsidR="00500555" w:rsidRPr="00B7455A" w:rsidRDefault="00500555" w:rsidP="00CF0356">
            <w:pPr>
              <w:jc w:val="both"/>
              <w:rPr>
                <w:rFonts w:cs="Arial"/>
                <w:sz w:val="22"/>
              </w:rPr>
            </w:pPr>
            <w:r w:rsidRPr="00B7455A">
              <w:rPr>
                <w:rFonts w:cs="Arial"/>
                <w:b/>
                <w:sz w:val="22"/>
              </w:rPr>
              <w:lastRenderedPageBreak/>
              <w:t xml:space="preserve">Section 3: </w:t>
            </w:r>
            <w:r w:rsidRPr="00B7455A">
              <w:rPr>
                <w:rFonts w:cs="Arial"/>
                <w:sz w:val="22"/>
              </w:rPr>
              <w:t>Action taken</w:t>
            </w:r>
          </w:p>
        </w:tc>
        <w:tc>
          <w:tcPr>
            <w:tcW w:w="4456" w:type="dxa"/>
          </w:tcPr>
          <w:p w14:paraId="2CA429FC" w14:textId="77777777" w:rsidR="00500555" w:rsidRPr="00B7455A" w:rsidRDefault="00500555" w:rsidP="00CF0356">
            <w:pPr>
              <w:jc w:val="both"/>
              <w:rPr>
                <w:rFonts w:cs="Arial"/>
                <w:sz w:val="22"/>
              </w:rPr>
            </w:pPr>
            <w:r w:rsidRPr="00B7455A">
              <w:rPr>
                <w:rFonts w:cs="Arial"/>
                <w:b/>
                <w:sz w:val="22"/>
              </w:rPr>
              <w:t xml:space="preserve">To be completed by the Data Protection Officer and/or Lead Investigation Officer </w:t>
            </w:r>
          </w:p>
        </w:tc>
      </w:tr>
      <w:tr w:rsidR="00500555" w:rsidRPr="00B7455A" w14:paraId="049809A8" w14:textId="77777777" w:rsidTr="00CF0356">
        <w:tc>
          <w:tcPr>
            <w:tcW w:w="4786" w:type="dxa"/>
          </w:tcPr>
          <w:p w14:paraId="55A28563" w14:textId="77777777" w:rsidR="00500555" w:rsidRPr="00B7455A" w:rsidRDefault="00500555" w:rsidP="00CF0356">
            <w:pPr>
              <w:jc w:val="both"/>
              <w:rPr>
                <w:rFonts w:cs="Arial"/>
                <w:sz w:val="22"/>
              </w:rPr>
            </w:pPr>
            <w:r w:rsidRPr="00B7455A">
              <w:rPr>
                <w:rFonts w:cs="Arial"/>
                <w:sz w:val="22"/>
              </w:rPr>
              <w:t>Incident reference number</w:t>
            </w:r>
          </w:p>
        </w:tc>
        <w:tc>
          <w:tcPr>
            <w:tcW w:w="4456" w:type="dxa"/>
          </w:tcPr>
          <w:p w14:paraId="56E404C6" w14:textId="77777777" w:rsidR="00500555" w:rsidRPr="00B7455A" w:rsidRDefault="00500555" w:rsidP="00CF0356">
            <w:pPr>
              <w:jc w:val="both"/>
              <w:rPr>
                <w:rFonts w:cs="Arial"/>
                <w:sz w:val="22"/>
              </w:rPr>
            </w:pPr>
          </w:p>
        </w:tc>
      </w:tr>
      <w:tr w:rsidR="00500555" w:rsidRPr="00B7455A" w14:paraId="7CD86F6E" w14:textId="77777777" w:rsidTr="00CF0356">
        <w:tc>
          <w:tcPr>
            <w:tcW w:w="4786" w:type="dxa"/>
          </w:tcPr>
          <w:p w14:paraId="57B730D2" w14:textId="77777777" w:rsidR="00500555" w:rsidRPr="00B7455A" w:rsidRDefault="00500555" w:rsidP="00CF0356">
            <w:pPr>
              <w:jc w:val="both"/>
              <w:rPr>
                <w:rFonts w:cs="Arial"/>
                <w:sz w:val="22"/>
              </w:rPr>
            </w:pPr>
            <w:r w:rsidRPr="00B7455A">
              <w:rPr>
                <w:rFonts w:cs="Arial"/>
                <w:sz w:val="22"/>
              </w:rPr>
              <w:t>Action taken</w:t>
            </w:r>
          </w:p>
        </w:tc>
        <w:tc>
          <w:tcPr>
            <w:tcW w:w="4456" w:type="dxa"/>
          </w:tcPr>
          <w:p w14:paraId="29D8CA5F" w14:textId="77777777" w:rsidR="00500555" w:rsidRPr="00B7455A" w:rsidRDefault="00500555" w:rsidP="00CF0356">
            <w:pPr>
              <w:jc w:val="both"/>
              <w:rPr>
                <w:rFonts w:cs="Arial"/>
                <w:sz w:val="22"/>
              </w:rPr>
            </w:pPr>
          </w:p>
        </w:tc>
      </w:tr>
      <w:tr w:rsidR="00500555" w:rsidRPr="00B7455A" w14:paraId="273D134E" w14:textId="77777777" w:rsidTr="00CF0356">
        <w:tc>
          <w:tcPr>
            <w:tcW w:w="4786" w:type="dxa"/>
          </w:tcPr>
          <w:p w14:paraId="1637D5C3" w14:textId="77777777" w:rsidR="00500555" w:rsidRPr="00B7455A" w:rsidRDefault="00500555" w:rsidP="00CF0356">
            <w:pPr>
              <w:jc w:val="both"/>
              <w:rPr>
                <w:rFonts w:cs="Arial"/>
                <w:sz w:val="22"/>
              </w:rPr>
            </w:pPr>
            <w:r w:rsidRPr="00B7455A">
              <w:rPr>
                <w:rFonts w:cs="Arial"/>
                <w:sz w:val="22"/>
              </w:rPr>
              <w:t>Was incident reported to Police?</w:t>
            </w:r>
          </w:p>
        </w:tc>
        <w:tc>
          <w:tcPr>
            <w:tcW w:w="4456" w:type="dxa"/>
          </w:tcPr>
          <w:p w14:paraId="7710449F" w14:textId="77777777" w:rsidR="00500555" w:rsidRPr="00B7455A" w:rsidRDefault="00500555" w:rsidP="00CF0356">
            <w:pPr>
              <w:jc w:val="both"/>
              <w:rPr>
                <w:rFonts w:cs="Arial"/>
                <w:sz w:val="22"/>
              </w:rPr>
            </w:pPr>
            <w:r w:rsidRPr="00B7455A">
              <w:rPr>
                <w:rFonts w:cs="Arial"/>
                <w:sz w:val="22"/>
              </w:rPr>
              <w:t xml:space="preserve">Yes/No  </w:t>
            </w:r>
          </w:p>
          <w:p w14:paraId="46257D19" w14:textId="77777777" w:rsidR="00500555" w:rsidRPr="00B7455A" w:rsidRDefault="00500555" w:rsidP="00CF0356">
            <w:pPr>
              <w:jc w:val="both"/>
              <w:rPr>
                <w:rFonts w:cs="Arial"/>
                <w:sz w:val="22"/>
              </w:rPr>
            </w:pPr>
            <w:r w:rsidRPr="00B7455A">
              <w:rPr>
                <w:rFonts w:cs="Arial"/>
                <w:sz w:val="22"/>
              </w:rPr>
              <w:t>If YES, notified on (date):</w:t>
            </w:r>
          </w:p>
        </w:tc>
      </w:tr>
      <w:tr w:rsidR="00500555" w:rsidRPr="00B7455A" w14:paraId="668B5453" w14:textId="77777777" w:rsidTr="00CF0356">
        <w:tc>
          <w:tcPr>
            <w:tcW w:w="4786" w:type="dxa"/>
          </w:tcPr>
          <w:p w14:paraId="6D1A6E66" w14:textId="77777777" w:rsidR="00500555" w:rsidRPr="00B7455A" w:rsidRDefault="00500555" w:rsidP="00CF0356">
            <w:pPr>
              <w:jc w:val="both"/>
              <w:rPr>
                <w:rFonts w:cs="Arial"/>
                <w:sz w:val="22"/>
              </w:rPr>
            </w:pPr>
            <w:r w:rsidRPr="00B7455A">
              <w:rPr>
                <w:rFonts w:cs="Arial"/>
                <w:sz w:val="22"/>
              </w:rPr>
              <w:t>Follow up action required/recommended</w:t>
            </w:r>
          </w:p>
        </w:tc>
        <w:tc>
          <w:tcPr>
            <w:tcW w:w="4456" w:type="dxa"/>
          </w:tcPr>
          <w:p w14:paraId="2A0A41CE" w14:textId="77777777" w:rsidR="00500555" w:rsidRPr="00B7455A" w:rsidRDefault="00500555" w:rsidP="00CF0356">
            <w:pPr>
              <w:jc w:val="both"/>
              <w:rPr>
                <w:rFonts w:cs="Arial"/>
                <w:sz w:val="22"/>
              </w:rPr>
            </w:pPr>
          </w:p>
        </w:tc>
      </w:tr>
      <w:tr w:rsidR="00500555" w:rsidRPr="00B7455A" w14:paraId="300E6C55" w14:textId="77777777" w:rsidTr="00CF0356">
        <w:tc>
          <w:tcPr>
            <w:tcW w:w="4786" w:type="dxa"/>
          </w:tcPr>
          <w:p w14:paraId="0A2EE1DA" w14:textId="77777777" w:rsidR="00500555" w:rsidRPr="00B7455A" w:rsidRDefault="00500555" w:rsidP="00CF0356">
            <w:pPr>
              <w:rPr>
                <w:rFonts w:cs="Arial"/>
                <w:sz w:val="22"/>
              </w:rPr>
            </w:pPr>
            <w:r w:rsidRPr="00B7455A">
              <w:rPr>
                <w:rFonts w:cs="Arial"/>
                <w:b/>
                <w:sz w:val="22"/>
              </w:rPr>
              <w:t xml:space="preserve">For use of Data Protection Officer and/or Lead Officer: </w:t>
            </w:r>
          </w:p>
        </w:tc>
        <w:tc>
          <w:tcPr>
            <w:tcW w:w="4456" w:type="dxa"/>
          </w:tcPr>
          <w:p w14:paraId="439B18AD" w14:textId="77777777" w:rsidR="00500555" w:rsidRPr="00B7455A" w:rsidRDefault="00500555" w:rsidP="00CF0356">
            <w:pPr>
              <w:jc w:val="both"/>
              <w:rPr>
                <w:rFonts w:cs="Arial"/>
                <w:sz w:val="22"/>
              </w:rPr>
            </w:pPr>
          </w:p>
        </w:tc>
      </w:tr>
      <w:tr w:rsidR="00500555" w:rsidRPr="00B7455A" w14:paraId="019275DE" w14:textId="77777777" w:rsidTr="00CF0356">
        <w:tc>
          <w:tcPr>
            <w:tcW w:w="4786" w:type="dxa"/>
          </w:tcPr>
          <w:p w14:paraId="345EB74C" w14:textId="77777777" w:rsidR="00500555" w:rsidRPr="00B7455A" w:rsidRDefault="00500555" w:rsidP="00CF0356">
            <w:pPr>
              <w:jc w:val="both"/>
              <w:rPr>
                <w:rFonts w:cs="Arial"/>
                <w:sz w:val="22"/>
              </w:rPr>
            </w:pPr>
            <w:r w:rsidRPr="00B7455A">
              <w:rPr>
                <w:rFonts w:cs="Arial"/>
                <w:sz w:val="22"/>
              </w:rPr>
              <w:t>Notification to ICO</w:t>
            </w:r>
          </w:p>
        </w:tc>
        <w:tc>
          <w:tcPr>
            <w:tcW w:w="4456" w:type="dxa"/>
          </w:tcPr>
          <w:p w14:paraId="30AA9DDA" w14:textId="77777777" w:rsidR="00500555" w:rsidRPr="00B7455A" w:rsidRDefault="00500555" w:rsidP="00CF0356">
            <w:pPr>
              <w:jc w:val="both"/>
              <w:rPr>
                <w:rFonts w:cs="Arial"/>
                <w:sz w:val="22"/>
              </w:rPr>
            </w:pPr>
            <w:r w:rsidRPr="00B7455A">
              <w:rPr>
                <w:rFonts w:cs="Arial"/>
                <w:sz w:val="22"/>
              </w:rPr>
              <w:t xml:space="preserve">YES/NO  </w:t>
            </w:r>
          </w:p>
          <w:p w14:paraId="1C76735D" w14:textId="77777777" w:rsidR="00500555" w:rsidRPr="00B7455A" w:rsidRDefault="00500555" w:rsidP="00CF0356">
            <w:pPr>
              <w:jc w:val="both"/>
              <w:rPr>
                <w:rFonts w:cs="Arial"/>
                <w:sz w:val="22"/>
              </w:rPr>
            </w:pPr>
            <w:r w:rsidRPr="00B7455A">
              <w:rPr>
                <w:rFonts w:cs="Arial"/>
                <w:sz w:val="22"/>
              </w:rPr>
              <w:t xml:space="preserve">If YES, notified on: </w:t>
            </w:r>
          </w:p>
          <w:p w14:paraId="07346EFC" w14:textId="77777777" w:rsidR="00500555" w:rsidRPr="00B7455A" w:rsidRDefault="00500555" w:rsidP="00CF0356">
            <w:pPr>
              <w:jc w:val="both"/>
              <w:rPr>
                <w:rFonts w:cs="Arial"/>
                <w:sz w:val="22"/>
              </w:rPr>
            </w:pPr>
            <w:r w:rsidRPr="00B7455A">
              <w:rPr>
                <w:rFonts w:cs="Arial"/>
                <w:sz w:val="22"/>
              </w:rPr>
              <w:t>Details:</w:t>
            </w:r>
          </w:p>
        </w:tc>
      </w:tr>
      <w:tr w:rsidR="00500555" w:rsidRPr="00B7455A" w14:paraId="414A4BBD" w14:textId="77777777" w:rsidTr="00CF0356">
        <w:tc>
          <w:tcPr>
            <w:tcW w:w="4786" w:type="dxa"/>
          </w:tcPr>
          <w:p w14:paraId="6AC08197" w14:textId="77777777" w:rsidR="00500555" w:rsidRPr="00B7455A" w:rsidRDefault="00500555" w:rsidP="00CF0356">
            <w:pPr>
              <w:jc w:val="both"/>
              <w:rPr>
                <w:rFonts w:cs="Arial"/>
                <w:sz w:val="22"/>
              </w:rPr>
            </w:pPr>
            <w:r w:rsidRPr="00B7455A">
              <w:rPr>
                <w:rFonts w:cs="Arial"/>
                <w:sz w:val="22"/>
              </w:rPr>
              <w:t>Notification to data subjects</w:t>
            </w:r>
          </w:p>
        </w:tc>
        <w:tc>
          <w:tcPr>
            <w:tcW w:w="4456" w:type="dxa"/>
          </w:tcPr>
          <w:p w14:paraId="763863AE" w14:textId="77777777" w:rsidR="00500555" w:rsidRPr="00B7455A" w:rsidRDefault="00500555" w:rsidP="00CF0356">
            <w:pPr>
              <w:jc w:val="both"/>
              <w:rPr>
                <w:rFonts w:cs="Arial"/>
                <w:sz w:val="22"/>
              </w:rPr>
            </w:pPr>
            <w:r w:rsidRPr="00B7455A">
              <w:rPr>
                <w:rFonts w:cs="Arial"/>
                <w:sz w:val="22"/>
              </w:rPr>
              <w:t xml:space="preserve">YES/NO  </w:t>
            </w:r>
          </w:p>
          <w:p w14:paraId="6C55101B" w14:textId="77777777" w:rsidR="00500555" w:rsidRPr="00B7455A" w:rsidRDefault="00500555" w:rsidP="00CF0356">
            <w:pPr>
              <w:jc w:val="both"/>
              <w:rPr>
                <w:rFonts w:cs="Arial"/>
                <w:sz w:val="22"/>
              </w:rPr>
            </w:pPr>
            <w:r w:rsidRPr="00B7455A">
              <w:rPr>
                <w:rFonts w:cs="Arial"/>
                <w:sz w:val="22"/>
              </w:rPr>
              <w:t xml:space="preserve">If YES, notified on: </w:t>
            </w:r>
          </w:p>
          <w:p w14:paraId="1657CC6E" w14:textId="77777777" w:rsidR="00500555" w:rsidRPr="00B7455A" w:rsidRDefault="00500555" w:rsidP="00CF0356">
            <w:pPr>
              <w:jc w:val="both"/>
              <w:rPr>
                <w:rFonts w:cs="Arial"/>
                <w:sz w:val="22"/>
              </w:rPr>
            </w:pPr>
            <w:r w:rsidRPr="00B7455A">
              <w:rPr>
                <w:rFonts w:cs="Arial"/>
                <w:sz w:val="22"/>
              </w:rPr>
              <w:t>Details:</w:t>
            </w:r>
          </w:p>
        </w:tc>
      </w:tr>
      <w:tr w:rsidR="00500555" w:rsidRPr="00B7455A" w14:paraId="36431752" w14:textId="77777777" w:rsidTr="00CF0356">
        <w:tc>
          <w:tcPr>
            <w:tcW w:w="4786" w:type="dxa"/>
          </w:tcPr>
          <w:p w14:paraId="5A4858D7" w14:textId="77777777" w:rsidR="00500555" w:rsidRPr="00B7455A" w:rsidRDefault="00500555" w:rsidP="00CF0356">
            <w:pPr>
              <w:jc w:val="both"/>
              <w:rPr>
                <w:rFonts w:cs="Arial"/>
                <w:sz w:val="22"/>
              </w:rPr>
            </w:pPr>
            <w:r w:rsidRPr="00B7455A">
              <w:rPr>
                <w:rFonts w:cs="Arial"/>
                <w:sz w:val="22"/>
              </w:rPr>
              <w:t>Notification to other external,  regulator/stakeholder</w:t>
            </w:r>
          </w:p>
        </w:tc>
        <w:tc>
          <w:tcPr>
            <w:tcW w:w="4456" w:type="dxa"/>
          </w:tcPr>
          <w:p w14:paraId="24851F60" w14:textId="77777777" w:rsidR="00500555" w:rsidRPr="00B7455A" w:rsidRDefault="00500555" w:rsidP="00CF0356">
            <w:pPr>
              <w:jc w:val="both"/>
              <w:rPr>
                <w:rFonts w:cs="Arial"/>
                <w:sz w:val="22"/>
              </w:rPr>
            </w:pPr>
            <w:r w:rsidRPr="00B7455A">
              <w:rPr>
                <w:rFonts w:cs="Arial"/>
                <w:sz w:val="22"/>
              </w:rPr>
              <w:t xml:space="preserve">YES/NO  </w:t>
            </w:r>
          </w:p>
          <w:p w14:paraId="2211759A" w14:textId="77777777" w:rsidR="00500555" w:rsidRPr="00B7455A" w:rsidRDefault="00500555" w:rsidP="00CF0356">
            <w:pPr>
              <w:jc w:val="both"/>
              <w:rPr>
                <w:rFonts w:cs="Arial"/>
                <w:sz w:val="22"/>
              </w:rPr>
            </w:pPr>
            <w:r w:rsidRPr="00B7455A">
              <w:rPr>
                <w:rFonts w:cs="Arial"/>
                <w:sz w:val="22"/>
              </w:rPr>
              <w:t xml:space="preserve">If YES, notified on: </w:t>
            </w:r>
          </w:p>
          <w:p w14:paraId="12D9529D" w14:textId="77777777" w:rsidR="00500555" w:rsidRPr="00B7455A" w:rsidRDefault="00500555" w:rsidP="00CF0356">
            <w:pPr>
              <w:jc w:val="both"/>
              <w:rPr>
                <w:rFonts w:cs="Arial"/>
                <w:sz w:val="22"/>
              </w:rPr>
            </w:pPr>
            <w:r w:rsidRPr="00B7455A">
              <w:rPr>
                <w:rFonts w:cs="Arial"/>
                <w:sz w:val="22"/>
              </w:rPr>
              <w:t>Details:</w:t>
            </w:r>
          </w:p>
        </w:tc>
      </w:tr>
      <w:tr w:rsidR="00500555" w:rsidRPr="00B7455A" w14:paraId="2DE6AF48" w14:textId="77777777" w:rsidTr="00CF0356">
        <w:tc>
          <w:tcPr>
            <w:tcW w:w="4786" w:type="dxa"/>
          </w:tcPr>
          <w:p w14:paraId="540494CB" w14:textId="129C6A3C" w:rsidR="00500555" w:rsidRPr="00B7455A" w:rsidRDefault="00500555" w:rsidP="00500555">
            <w:pPr>
              <w:jc w:val="both"/>
              <w:rPr>
                <w:rFonts w:cs="Arial"/>
                <w:sz w:val="22"/>
              </w:rPr>
            </w:pPr>
            <w:r w:rsidRPr="00B7455A">
              <w:rPr>
                <w:rFonts w:cs="Arial"/>
                <w:sz w:val="22"/>
              </w:rPr>
              <w:t>Report Findings</w:t>
            </w:r>
          </w:p>
        </w:tc>
        <w:tc>
          <w:tcPr>
            <w:tcW w:w="4456" w:type="dxa"/>
          </w:tcPr>
          <w:p w14:paraId="4ECD1D37" w14:textId="77777777" w:rsidR="00500555" w:rsidRPr="00B7455A" w:rsidRDefault="00500555" w:rsidP="00CF0356">
            <w:pPr>
              <w:jc w:val="both"/>
              <w:rPr>
                <w:rFonts w:cs="Arial"/>
                <w:sz w:val="22"/>
              </w:rPr>
            </w:pPr>
          </w:p>
        </w:tc>
      </w:tr>
    </w:tbl>
    <w:p w14:paraId="05DF3101" w14:textId="1CEF12B4" w:rsidR="00500555" w:rsidRPr="00F36FA2" w:rsidRDefault="00500555" w:rsidP="00500555">
      <w:pPr>
        <w:jc w:val="both"/>
        <w:rPr>
          <w:rFonts w:cs="Arial"/>
          <w:szCs w:val="24"/>
        </w:rPr>
      </w:pPr>
    </w:p>
    <w:p w14:paraId="1AAD4076" w14:textId="627E71FD" w:rsidR="00500555" w:rsidRDefault="00500555" w:rsidP="00500555">
      <w:pPr>
        <w:jc w:val="both"/>
        <w:rPr>
          <w:rFonts w:cs="Arial"/>
          <w:szCs w:val="24"/>
        </w:rPr>
      </w:pPr>
    </w:p>
    <w:p w14:paraId="27E7D625" w14:textId="040F1E1D" w:rsidR="00F36FA2" w:rsidRDefault="00F36FA2" w:rsidP="00500555">
      <w:pPr>
        <w:jc w:val="both"/>
        <w:rPr>
          <w:rFonts w:cs="Arial"/>
          <w:szCs w:val="24"/>
        </w:rPr>
      </w:pPr>
    </w:p>
    <w:p w14:paraId="5302FBC0" w14:textId="0B880806" w:rsidR="00F36FA2" w:rsidRDefault="00F36FA2" w:rsidP="00500555">
      <w:pPr>
        <w:jc w:val="both"/>
        <w:rPr>
          <w:rFonts w:cs="Arial"/>
          <w:szCs w:val="24"/>
        </w:rPr>
      </w:pPr>
    </w:p>
    <w:p w14:paraId="7CA8761D" w14:textId="2C52C4A8" w:rsidR="00F36FA2" w:rsidRDefault="00F36FA2" w:rsidP="00500555">
      <w:pPr>
        <w:jc w:val="both"/>
        <w:rPr>
          <w:rFonts w:cs="Arial"/>
          <w:szCs w:val="24"/>
        </w:rPr>
      </w:pPr>
    </w:p>
    <w:p w14:paraId="7E4F3206" w14:textId="2857A208" w:rsidR="00F36FA2" w:rsidRDefault="00F36FA2" w:rsidP="00500555">
      <w:pPr>
        <w:jc w:val="both"/>
        <w:rPr>
          <w:rFonts w:cs="Arial"/>
          <w:szCs w:val="24"/>
        </w:rPr>
      </w:pPr>
    </w:p>
    <w:p w14:paraId="44EFD25D" w14:textId="3D79BE2E" w:rsidR="00F36FA2" w:rsidRDefault="00F36FA2" w:rsidP="00500555">
      <w:pPr>
        <w:jc w:val="both"/>
        <w:rPr>
          <w:rFonts w:cs="Arial"/>
          <w:szCs w:val="24"/>
        </w:rPr>
      </w:pPr>
    </w:p>
    <w:p w14:paraId="0281B545" w14:textId="3FAB67FE" w:rsidR="00F36FA2" w:rsidRDefault="00F36FA2" w:rsidP="00500555">
      <w:pPr>
        <w:jc w:val="both"/>
        <w:rPr>
          <w:rFonts w:cs="Arial"/>
          <w:szCs w:val="24"/>
        </w:rPr>
      </w:pPr>
    </w:p>
    <w:p w14:paraId="2DC159D6" w14:textId="7D084734" w:rsidR="00F36FA2" w:rsidRDefault="00F36FA2" w:rsidP="00500555">
      <w:pPr>
        <w:jc w:val="both"/>
        <w:rPr>
          <w:rFonts w:cs="Arial"/>
          <w:szCs w:val="24"/>
        </w:rPr>
      </w:pPr>
    </w:p>
    <w:p w14:paraId="41A08E60" w14:textId="4782D5B6" w:rsidR="00FD5F0D" w:rsidRDefault="00FD5F0D" w:rsidP="00500555">
      <w:pPr>
        <w:jc w:val="both"/>
        <w:rPr>
          <w:rFonts w:cs="Arial"/>
          <w:szCs w:val="24"/>
        </w:rPr>
      </w:pPr>
    </w:p>
    <w:p w14:paraId="014D82FC" w14:textId="15A6A530" w:rsidR="00FD5F0D" w:rsidRDefault="00FD5F0D" w:rsidP="00500555">
      <w:pPr>
        <w:jc w:val="both"/>
        <w:rPr>
          <w:rFonts w:cs="Arial"/>
          <w:szCs w:val="24"/>
        </w:rPr>
      </w:pPr>
    </w:p>
    <w:p w14:paraId="351BD94A" w14:textId="086BA95D" w:rsidR="00FD5F0D" w:rsidRDefault="00FD5F0D" w:rsidP="00500555">
      <w:pPr>
        <w:jc w:val="both"/>
        <w:rPr>
          <w:rFonts w:cs="Arial"/>
          <w:szCs w:val="24"/>
        </w:rPr>
      </w:pPr>
    </w:p>
    <w:p w14:paraId="254D1CD5" w14:textId="1A57D084" w:rsidR="00FD5F0D" w:rsidRDefault="00FD5F0D" w:rsidP="00500555">
      <w:pPr>
        <w:jc w:val="both"/>
        <w:rPr>
          <w:rFonts w:cs="Arial"/>
          <w:szCs w:val="24"/>
        </w:rPr>
      </w:pPr>
    </w:p>
    <w:p w14:paraId="35E70B78" w14:textId="7BAFBC91" w:rsidR="00FD5F0D" w:rsidRDefault="00FD5F0D" w:rsidP="00500555">
      <w:pPr>
        <w:jc w:val="both"/>
        <w:rPr>
          <w:rFonts w:cs="Arial"/>
          <w:szCs w:val="24"/>
        </w:rPr>
      </w:pPr>
    </w:p>
    <w:p w14:paraId="1FE1F13A" w14:textId="39EFFCF0" w:rsidR="00FD5F0D" w:rsidRDefault="00FD5F0D" w:rsidP="00500555">
      <w:pPr>
        <w:jc w:val="both"/>
        <w:rPr>
          <w:rFonts w:cs="Arial"/>
          <w:szCs w:val="24"/>
        </w:rPr>
      </w:pPr>
    </w:p>
    <w:p w14:paraId="46C745E0" w14:textId="65D06F2D" w:rsidR="00FD5F0D" w:rsidRDefault="00FD5F0D" w:rsidP="00500555">
      <w:pPr>
        <w:jc w:val="both"/>
        <w:rPr>
          <w:rFonts w:cs="Arial"/>
          <w:szCs w:val="24"/>
        </w:rPr>
      </w:pPr>
    </w:p>
    <w:p w14:paraId="0845F229" w14:textId="77777777" w:rsidR="00FD5F0D" w:rsidRDefault="00FD5F0D" w:rsidP="00500555">
      <w:pPr>
        <w:jc w:val="both"/>
        <w:rPr>
          <w:rFonts w:cs="Arial"/>
          <w:szCs w:val="24"/>
        </w:rPr>
      </w:pPr>
    </w:p>
    <w:p w14:paraId="6BC11D64" w14:textId="273B147C" w:rsidR="00FD5F0D" w:rsidRPr="006A2BAC" w:rsidRDefault="00FD5F0D" w:rsidP="006A2BAC">
      <w:pPr>
        <w:pStyle w:val="Heading1"/>
        <w:rPr>
          <w:rFonts w:ascii="Arial" w:hAnsi="Arial" w:cs="Arial"/>
          <w:sz w:val="24"/>
          <w:szCs w:val="24"/>
        </w:rPr>
      </w:pPr>
      <w:bookmarkStart w:id="27" w:name="_Toc117514769"/>
      <w:r w:rsidRPr="00FD5F0D">
        <w:rPr>
          <w:rFonts w:ascii="Arial" w:hAnsi="Arial" w:cs="Arial"/>
          <w:sz w:val="24"/>
          <w:szCs w:val="24"/>
        </w:rPr>
        <w:lastRenderedPageBreak/>
        <w:t>Change History Record</w:t>
      </w:r>
      <w:bookmarkEnd w:id="27"/>
    </w:p>
    <w:tbl>
      <w:tblPr>
        <w:tblStyle w:val="TableGridLight"/>
        <w:tblpPr w:leftFromText="180" w:rightFromText="180" w:vertAnchor="text" w:horzAnchor="margin" w:tblpY="285"/>
        <w:tblW w:w="8962" w:type="dxa"/>
        <w:tblLook w:val="04A0" w:firstRow="1" w:lastRow="0" w:firstColumn="1" w:lastColumn="0" w:noHBand="0" w:noVBand="1"/>
      </w:tblPr>
      <w:tblGrid>
        <w:gridCol w:w="1101"/>
        <w:gridCol w:w="3543"/>
        <w:gridCol w:w="2294"/>
        <w:gridCol w:w="2024"/>
      </w:tblGrid>
      <w:tr w:rsidR="00FD5F0D" w:rsidRPr="00A05DFF" w14:paraId="38801922" w14:textId="77777777" w:rsidTr="006A2BAC">
        <w:trPr>
          <w:trHeight w:val="301"/>
          <w:tblHeader/>
        </w:trPr>
        <w:tc>
          <w:tcPr>
            <w:tcW w:w="1101" w:type="dxa"/>
          </w:tcPr>
          <w:p w14:paraId="6A91768B" w14:textId="77777777" w:rsidR="00FD5F0D" w:rsidRPr="003B2957" w:rsidRDefault="00FD5F0D" w:rsidP="008E2DB3">
            <w:pPr>
              <w:rPr>
                <w:rFonts w:cs="Arial"/>
                <w:b/>
                <w:sz w:val="22"/>
              </w:rPr>
            </w:pPr>
            <w:r w:rsidRPr="003B2957">
              <w:rPr>
                <w:rFonts w:cs="Arial"/>
                <w:b/>
                <w:sz w:val="22"/>
              </w:rPr>
              <w:t>Version</w:t>
            </w:r>
          </w:p>
        </w:tc>
        <w:tc>
          <w:tcPr>
            <w:tcW w:w="3543" w:type="dxa"/>
          </w:tcPr>
          <w:p w14:paraId="697D9E04" w14:textId="77777777" w:rsidR="00FD5F0D" w:rsidRPr="003B2957" w:rsidRDefault="00FD5F0D" w:rsidP="008E2DB3">
            <w:pPr>
              <w:rPr>
                <w:rFonts w:cs="Arial"/>
                <w:b/>
                <w:sz w:val="22"/>
              </w:rPr>
            </w:pPr>
            <w:r w:rsidRPr="003B2957">
              <w:rPr>
                <w:rFonts w:cs="Arial"/>
                <w:b/>
                <w:sz w:val="22"/>
              </w:rPr>
              <w:t>Description of Change</w:t>
            </w:r>
          </w:p>
        </w:tc>
        <w:tc>
          <w:tcPr>
            <w:tcW w:w="2294" w:type="dxa"/>
          </w:tcPr>
          <w:p w14:paraId="1323F265" w14:textId="77777777" w:rsidR="00FD5F0D" w:rsidRPr="003B2957" w:rsidRDefault="00FD5F0D" w:rsidP="008E2DB3">
            <w:pPr>
              <w:rPr>
                <w:rFonts w:cs="Arial"/>
                <w:b/>
                <w:sz w:val="22"/>
              </w:rPr>
            </w:pPr>
            <w:r w:rsidRPr="003B2957">
              <w:rPr>
                <w:rFonts w:cs="Arial"/>
                <w:b/>
                <w:sz w:val="22"/>
              </w:rPr>
              <w:t>Approval</w:t>
            </w:r>
          </w:p>
        </w:tc>
        <w:tc>
          <w:tcPr>
            <w:tcW w:w="0" w:type="auto"/>
          </w:tcPr>
          <w:p w14:paraId="6516D898" w14:textId="77777777" w:rsidR="00FD5F0D" w:rsidRPr="003B2957" w:rsidRDefault="00FD5F0D" w:rsidP="008E2DB3">
            <w:pPr>
              <w:rPr>
                <w:rFonts w:cs="Arial"/>
                <w:b/>
                <w:sz w:val="22"/>
              </w:rPr>
            </w:pPr>
            <w:r w:rsidRPr="003B2957">
              <w:rPr>
                <w:rFonts w:cs="Arial"/>
                <w:b/>
                <w:sz w:val="22"/>
              </w:rPr>
              <w:t xml:space="preserve">Date </w:t>
            </w:r>
          </w:p>
        </w:tc>
      </w:tr>
      <w:tr w:rsidR="00FD5F0D" w:rsidRPr="00A05DFF" w14:paraId="5DF26ECC" w14:textId="77777777" w:rsidTr="008E2DB3">
        <w:trPr>
          <w:trHeight w:val="291"/>
        </w:trPr>
        <w:tc>
          <w:tcPr>
            <w:tcW w:w="1101" w:type="dxa"/>
          </w:tcPr>
          <w:p w14:paraId="255105FE" w14:textId="77777777" w:rsidR="00FD5F0D" w:rsidRPr="00A05DFF" w:rsidRDefault="00FD5F0D" w:rsidP="008E2DB3">
            <w:pPr>
              <w:rPr>
                <w:rFonts w:cs="Arial"/>
                <w:sz w:val="22"/>
              </w:rPr>
            </w:pPr>
            <w:r>
              <w:rPr>
                <w:rFonts w:cs="Arial"/>
                <w:sz w:val="22"/>
              </w:rPr>
              <w:t>1.0</w:t>
            </w:r>
          </w:p>
        </w:tc>
        <w:tc>
          <w:tcPr>
            <w:tcW w:w="3543" w:type="dxa"/>
          </w:tcPr>
          <w:p w14:paraId="305FB68B" w14:textId="77777777" w:rsidR="00FD5F0D" w:rsidRDefault="00FD5F0D" w:rsidP="008E2DB3">
            <w:pPr>
              <w:tabs>
                <w:tab w:val="left" w:pos="975"/>
              </w:tabs>
              <w:rPr>
                <w:rFonts w:cs="Arial"/>
                <w:sz w:val="22"/>
              </w:rPr>
            </w:pPr>
            <w:r>
              <w:rPr>
                <w:rFonts w:cs="Arial"/>
                <w:sz w:val="22"/>
              </w:rPr>
              <w:t>Initial Draft</w:t>
            </w:r>
          </w:p>
        </w:tc>
        <w:tc>
          <w:tcPr>
            <w:tcW w:w="2294" w:type="dxa"/>
          </w:tcPr>
          <w:p w14:paraId="62EAC118" w14:textId="77777777" w:rsidR="00FD5F0D" w:rsidRDefault="00FD5F0D" w:rsidP="008E2DB3">
            <w:pPr>
              <w:rPr>
                <w:rFonts w:cs="Arial"/>
                <w:sz w:val="22"/>
              </w:rPr>
            </w:pPr>
            <w:r>
              <w:rPr>
                <w:rFonts w:cs="Arial"/>
                <w:sz w:val="22"/>
              </w:rPr>
              <w:t>-</w:t>
            </w:r>
          </w:p>
        </w:tc>
        <w:tc>
          <w:tcPr>
            <w:tcW w:w="0" w:type="auto"/>
          </w:tcPr>
          <w:p w14:paraId="62FEA450" w14:textId="77777777" w:rsidR="00FD5F0D" w:rsidRDefault="00FD5F0D" w:rsidP="008E2DB3">
            <w:pPr>
              <w:rPr>
                <w:rFonts w:cs="Arial"/>
                <w:sz w:val="22"/>
              </w:rPr>
            </w:pPr>
          </w:p>
        </w:tc>
      </w:tr>
      <w:tr w:rsidR="00FD5F0D" w:rsidRPr="00A05DFF" w14:paraId="621227FE" w14:textId="77777777" w:rsidTr="008E2DB3">
        <w:trPr>
          <w:trHeight w:val="291"/>
        </w:trPr>
        <w:tc>
          <w:tcPr>
            <w:tcW w:w="1101" w:type="dxa"/>
          </w:tcPr>
          <w:p w14:paraId="38916ADE" w14:textId="77777777" w:rsidR="00FD5F0D" w:rsidRPr="00A05DFF" w:rsidRDefault="00FD5F0D" w:rsidP="008E2DB3">
            <w:pPr>
              <w:rPr>
                <w:rFonts w:cs="Arial"/>
                <w:sz w:val="22"/>
              </w:rPr>
            </w:pPr>
            <w:r>
              <w:rPr>
                <w:rFonts w:cs="Arial"/>
                <w:sz w:val="22"/>
              </w:rPr>
              <w:t>1.1</w:t>
            </w:r>
          </w:p>
        </w:tc>
        <w:tc>
          <w:tcPr>
            <w:tcW w:w="3543" w:type="dxa"/>
          </w:tcPr>
          <w:p w14:paraId="3DBD898F" w14:textId="77777777" w:rsidR="00FD5F0D" w:rsidRDefault="00FD5F0D" w:rsidP="008E2DB3">
            <w:pPr>
              <w:rPr>
                <w:rFonts w:cs="Arial"/>
                <w:sz w:val="22"/>
              </w:rPr>
            </w:pPr>
            <w:r>
              <w:rPr>
                <w:rFonts w:cs="Arial"/>
                <w:sz w:val="22"/>
              </w:rPr>
              <w:t>Minor comments and corrections</w:t>
            </w:r>
          </w:p>
        </w:tc>
        <w:tc>
          <w:tcPr>
            <w:tcW w:w="2294" w:type="dxa"/>
          </w:tcPr>
          <w:p w14:paraId="2B5314A8" w14:textId="77777777" w:rsidR="00FD5F0D" w:rsidRDefault="00FD5F0D" w:rsidP="008E2DB3">
            <w:pPr>
              <w:rPr>
                <w:rFonts w:cs="Arial"/>
                <w:sz w:val="22"/>
              </w:rPr>
            </w:pPr>
            <w:r>
              <w:rPr>
                <w:rFonts w:cs="Arial"/>
                <w:sz w:val="22"/>
              </w:rPr>
              <w:t>-</w:t>
            </w:r>
          </w:p>
        </w:tc>
        <w:tc>
          <w:tcPr>
            <w:tcW w:w="0" w:type="auto"/>
          </w:tcPr>
          <w:p w14:paraId="2D4C457A" w14:textId="77777777" w:rsidR="00FD5F0D" w:rsidRDefault="00FD5F0D" w:rsidP="008E2DB3">
            <w:pPr>
              <w:rPr>
                <w:rFonts w:cs="Arial"/>
                <w:sz w:val="22"/>
              </w:rPr>
            </w:pPr>
          </w:p>
        </w:tc>
      </w:tr>
      <w:tr w:rsidR="00FD5F0D" w:rsidRPr="00A05DFF" w14:paraId="11207CE8" w14:textId="77777777" w:rsidTr="008E2DB3">
        <w:trPr>
          <w:trHeight w:val="291"/>
        </w:trPr>
        <w:tc>
          <w:tcPr>
            <w:tcW w:w="1101" w:type="dxa"/>
          </w:tcPr>
          <w:p w14:paraId="6D9530D5" w14:textId="77777777" w:rsidR="00FD5F0D" w:rsidRPr="00A05DFF" w:rsidRDefault="00FD5F0D" w:rsidP="008E2DB3">
            <w:pPr>
              <w:rPr>
                <w:rFonts w:cs="Arial"/>
                <w:sz w:val="22"/>
              </w:rPr>
            </w:pPr>
            <w:r>
              <w:rPr>
                <w:rFonts w:cs="Arial"/>
                <w:sz w:val="22"/>
              </w:rPr>
              <w:t>1.2</w:t>
            </w:r>
          </w:p>
        </w:tc>
        <w:tc>
          <w:tcPr>
            <w:tcW w:w="3543" w:type="dxa"/>
          </w:tcPr>
          <w:p w14:paraId="0F7F5B5C" w14:textId="77777777" w:rsidR="00FD5F0D" w:rsidRDefault="00FD5F0D" w:rsidP="008E2DB3">
            <w:pPr>
              <w:rPr>
                <w:rFonts w:cs="Arial"/>
                <w:sz w:val="22"/>
              </w:rPr>
            </w:pPr>
            <w:r>
              <w:rPr>
                <w:rFonts w:cs="Arial"/>
                <w:sz w:val="22"/>
              </w:rPr>
              <w:t>Updated v1.2 protected from amendment</w:t>
            </w:r>
          </w:p>
        </w:tc>
        <w:tc>
          <w:tcPr>
            <w:tcW w:w="2294" w:type="dxa"/>
          </w:tcPr>
          <w:p w14:paraId="23E09531" w14:textId="77777777" w:rsidR="00FD5F0D" w:rsidRDefault="00FD5F0D" w:rsidP="008E2DB3">
            <w:pPr>
              <w:rPr>
                <w:rFonts w:cs="Arial"/>
                <w:sz w:val="22"/>
              </w:rPr>
            </w:pPr>
            <w:r>
              <w:rPr>
                <w:rFonts w:cs="Arial"/>
                <w:sz w:val="22"/>
              </w:rPr>
              <w:t>-</w:t>
            </w:r>
          </w:p>
        </w:tc>
        <w:tc>
          <w:tcPr>
            <w:tcW w:w="0" w:type="auto"/>
          </w:tcPr>
          <w:p w14:paraId="79C83830" w14:textId="77777777" w:rsidR="00FD5F0D" w:rsidRDefault="00FD5F0D" w:rsidP="008E2DB3">
            <w:pPr>
              <w:rPr>
                <w:rFonts w:cs="Arial"/>
                <w:sz w:val="22"/>
              </w:rPr>
            </w:pPr>
          </w:p>
        </w:tc>
      </w:tr>
      <w:tr w:rsidR="00FD5F0D" w:rsidRPr="00A05DFF" w14:paraId="41C31B0D" w14:textId="77777777" w:rsidTr="008E2DB3">
        <w:trPr>
          <w:trHeight w:val="291"/>
        </w:trPr>
        <w:tc>
          <w:tcPr>
            <w:tcW w:w="1101" w:type="dxa"/>
          </w:tcPr>
          <w:p w14:paraId="26648050" w14:textId="77777777" w:rsidR="00FD5F0D" w:rsidRPr="00A05DFF" w:rsidRDefault="00FD5F0D" w:rsidP="008E2DB3">
            <w:pPr>
              <w:rPr>
                <w:rFonts w:cs="Arial"/>
                <w:sz w:val="22"/>
              </w:rPr>
            </w:pPr>
            <w:r w:rsidRPr="00A05DFF">
              <w:rPr>
                <w:rFonts w:cs="Arial"/>
                <w:sz w:val="22"/>
              </w:rPr>
              <w:t>2.</w:t>
            </w:r>
            <w:r>
              <w:rPr>
                <w:rFonts w:cs="Arial"/>
                <w:sz w:val="22"/>
              </w:rPr>
              <w:t>0</w:t>
            </w:r>
          </w:p>
        </w:tc>
        <w:tc>
          <w:tcPr>
            <w:tcW w:w="3543" w:type="dxa"/>
          </w:tcPr>
          <w:p w14:paraId="789B4118" w14:textId="77777777" w:rsidR="00FD5F0D" w:rsidRPr="00A05DFF" w:rsidRDefault="00FD5F0D" w:rsidP="008E2DB3">
            <w:pPr>
              <w:rPr>
                <w:rFonts w:cs="Arial"/>
                <w:sz w:val="22"/>
              </w:rPr>
            </w:pPr>
            <w:r>
              <w:rPr>
                <w:rFonts w:cs="Arial"/>
                <w:sz w:val="22"/>
              </w:rPr>
              <w:t>Principle and Consent Update</w:t>
            </w:r>
          </w:p>
        </w:tc>
        <w:tc>
          <w:tcPr>
            <w:tcW w:w="2294" w:type="dxa"/>
          </w:tcPr>
          <w:p w14:paraId="771D3338" w14:textId="77777777" w:rsidR="00FD5F0D" w:rsidRPr="00A05DFF" w:rsidRDefault="00FD5F0D" w:rsidP="008E2DB3">
            <w:pPr>
              <w:rPr>
                <w:rFonts w:cs="Arial"/>
                <w:sz w:val="22"/>
              </w:rPr>
            </w:pPr>
            <w:r>
              <w:rPr>
                <w:rFonts w:cs="Arial"/>
                <w:sz w:val="22"/>
              </w:rPr>
              <w:t>ISG Board</w:t>
            </w:r>
          </w:p>
        </w:tc>
        <w:tc>
          <w:tcPr>
            <w:tcW w:w="0" w:type="auto"/>
          </w:tcPr>
          <w:p w14:paraId="3642F523" w14:textId="77777777" w:rsidR="00FD5F0D" w:rsidRPr="00A05DFF" w:rsidRDefault="00FD5F0D" w:rsidP="008E2DB3">
            <w:pPr>
              <w:rPr>
                <w:rFonts w:cs="Arial"/>
                <w:sz w:val="22"/>
              </w:rPr>
            </w:pPr>
            <w:r>
              <w:rPr>
                <w:rFonts w:cs="Arial"/>
                <w:sz w:val="22"/>
              </w:rPr>
              <w:t>April 2015</w:t>
            </w:r>
          </w:p>
        </w:tc>
      </w:tr>
      <w:tr w:rsidR="00FD5F0D" w:rsidRPr="00A05DFF" w14:paraId="0889695C" w14:textId="77777777" w:rsidTr="008E2DB3">
        <w:trPr>
          <w:trHeight w:val="291"/>
        </w:trPr>
        <w:tc>
          <w:tcPr>
            <w:tcW w:w="1101" w:type="dxa"/>
          </w:tcPr>
          <w:p w14:paraId="74F1ABAB" w14:textId="77777777" w:rsidR="00FD5F0D" w:rsidRDefault="00FD5F0D" w:rsidP="008E2DB3">
            <w:pPr>
              <w:rPr>
                <w:rFonts w:cs="Arial"/>
                <w:sz w:val="22"/>
              </w:rPr>
            </w:pPr>
            <w:r>
              <w:rPr>
                <w:rFonts w:cs="Arial"/>
                <w:sz w:val="22"/>
              </w:rPr>
              <w:t>2.1</w:t>
            </w:r>
          </w:p>
        </w:tc>
        <w:tc>
          <w:tcPr>
            <w:tcW w:w="3543" w:type="dxa"/>
          </w:tcPr>
          <w:p w14:paraId="7653B92D" w14:textId="77777777" w:rsidR="00FD5F0D" w:rsidRDefault="00FD5F0D" w:rsidP="008E2DB3">
            <w:pPr>
              <w:rPr>
                <w:rFonts w:cs="Arial"/>
                <w:sz w:val="22"/>
              </w:rPr>
            </w:pPr>
            <w:r>
              <w:rPr>
                <w:rFonts w:cs="Arial"/>
                <w:sz w:val="22"/>
              </w:rPr>
              <w:t>None</w:t>
            </w:r>
          </w:p>
        </w:tc>
        <w:tc>
          <w:tcPr>
            <w:tcW w:w="2294" w:type="dxa"/>
          </w:tcPr>
          <w:p w14:paraId="04F3EF82" w14:textId="77777777" w:rsidR="00FD5F0D" w:rsidRDefault="00FD5F0D" w:rsidP="008E2DB3">
            <w:pPr>
              <w:rPr>
                <w:rFonts w:cs="Arial"/>
                <w:sz w:val="22"/>
              </w:rPr>
            </w:pPr>
            <w:r>
              <w:rPr>
                <w:rFonts w:cs="Arial"/>
                <w:sz w:val="22"/>
              </w:rPr>
              <w:t>-</w:t>
            </w:r>
          </w:p>
        </w:tc>
        <w:tc>
          <w:tcPr>
            <w:tcW w:w="0" w:type="auto"/>
          </w:tcPr>
          <w:p w14:paraId="1D3800F5" w14:textId="77777777" w:rsidR="00FD5F0D" w:rsidRPr="00A05DFF" w:rsidRDefault="00FD5F0D" w:rsidP="008E2DB3">
            <w:pPr>
              <w:rPr>
                <w:rFonts w:cs="Arial"/>
                <w:sz w:val="22"/>
              </w:rPr>
            </w:pPr>
            <w:r>
              <w:rPr>
                <w:rFonts w:cs="Arial"/>
                <w:sz w:val="22"/>
              </w:rPr>
              <w:t>March 2017</w:t>
            </w:r>
          </w:p>
        </w:tc>
      </w:tr>
      <w:tr w:rsidR="00FD5F0D" w:rsidRPr="00A05DFF" w14:paraId="0B61F148" w14:textId="77777777" w:rsidTr="008E2DB3">
        <w:trPr>
          <w:trHeight w:val="291"/>
        </w:trPr>
        <w:tc>
          <w:tcPr>
            <w:tcW w:w="1101" w:type="dxa"/>
          </w:tcPr>
          <w:p w14:paraId="1A9BA44C" w14:textId="77777777" w:rsidR="00FD5F0D" w:rsidRPr="00A05DFF" w:rsidRDefault="00FD5F0D" w:rsidP="008E2DB3">
            <w:pPr>
              <w:rPr>
                <w:rFonts w:cs="Arial"/>
                <w:sz w:val="22"/>
              </w:rPr>
            </w:pPr>
            <w:r>
              <w:rPr>
                <w:rFonts w:cs="Arial"/>
                <w:sz w:val="22"/>
              </w:rPr>
              <w:t>2.2</w:t>
            </w:r>
          </w:p>
        </w:tc>
        <w:tc>
          <w:tcPr>
            <w:tcW w:w="3543" w:type="dxa"/>
          </w:tcPr>
          <w:p w14:paraId="5FFAC216" w14:textId="77777777" w:rsidR="00FD5F0D" w:rsidRPr="00A05DFF" w:rsidRDefault="00FD5F0D" w:rsidP="008E2DB3">
            <w:pPr>
              <w:rPr>
                <w:rFonts w:cs="Arial"/>
                <w:sz w:val="22"/>
              </w:rPr>
            </w:pPr>
            <w:r>
              <w:rPr>
                <w:rFonts w:cs="Arial"/>
                <w:sz w:val="22"/>
              </w:rPr>
              <w:t>GDPR Compliance Update</w:t>
            </w:r>
          </w:p>
        </w:tc>
        <w:tc>
          <w:tcPr>
            <w:tcW w:w="2294" w:type="dxa"/>
          </w:tcPr>
          <w:p w14:paraId="31F4B4F6" w14:textId="77777777" w:rsidR="00FD5F0D" w:rsidRPr="00A05DFF" w:rsidRDefault="00FD5F0D" w:rsidP="008E2DB3">
            <w:pPr>
              <w:rPr>
                <w:rFonts w:cs="Arial"/>
                <w:sz w:val="22"/>
              </w:rPr>
            </w:pPr>
            <w:r>
              <w:rPr>
                <w:rFonts w:cs="Arial"/>
                <w:sz w:val="22"/>
              </w:rPr>
              <w:t>ISG Board</w:t>
            </w:r>
          </w:p>
        </w:tc>
        <w:tc>
          <w:tcPr>
            <w:tcW w:w="0" w:type="auto"/>
          </w:tcPr>
          <w:p w14:paraId="13CF1B95" w14:textId="77777777" w:rsidR="00FD5F0D" w:rsidRPr="00A05DFF" w:rsidRDefault="00FD5F0D" w:rsidP="008E2DB3">
            <w:pPr>
              <w:rPr>
                <w:rFonts w:cs="Arial"/>
                <w:sz w:val="22"/>
              </w:rPr>
            </w:pPr>
            <w:r>
              <w:rPr>
                <w:rFonts w:cs="Arial"/>
                <w:sz w:val="22"/>
              </w:rPr>
              <w:t>November 2017</w:t>
            </w:r>
          </w:p>
        </w:tc>
      </w:tr>
      <w:tr w:rsidR="00FD5F0D" w:rsidRPr="00A05DFF" w14:paraId="27188132" w14:textId="77777777" w:rsidTr="008E2DB3">
        <w:trPr>
          <w:trHeight w:val="291"/>
        </w:trPr>
        <w:tc>
          <w:tcPr>
            <w:tcW w:w="1101" w:type="dxa"/>
          </w:tcPr>
          <w:p w14:paraId="47721BF1" w14:textId="77777777" w:rsidR="00FD5F0D" w:rsidRDefault="00FD5F0D" w:rsidP="008E2DB3">
            <w:pPr>
              <w:rPr>
                <w:rFonts w:cs="Arial"/>
                <w:sz w:val="22"/>
              </w:rPr>
            </w:pPr>
            <w:r>
              <w:rPr>
                <w:rFonts w:cs="Arial"/>
                <w:sz w:val="22"/>
              </w:rPr>
              <w:t>2.3</w:t>
            </w:r>
          </w:p>
        </w:tc>
        <w:tc>
          <w:tcPr>
            <w:tcW w:w="3543" w:type="dxa"/>
          </w:tcPr>
          <w:p w14:paraId="7FA6BCA5" w14:textId="77777777" w:rsidR="00FD5F0D" w:rsidRDefault="00FD5F0D" w:rsidP="008E2DB3">
            <w:pPr>
              <w:rPr>
                <w:rFonts w:cs="Arial"/>
                <w:sz w:val="22"/>
              </w:rPr>
            </w:pPr>
            <w:r>
              <w:rPr>
                <w:rFonts w:cs="Arial"/>
                <w:sz w:val="22"/>
              </w:rPr>
              <w:t>DPA Compliance Update</w:t>
            </w:r>
          </w:p>
        </w:tc>
        <w:tc>
          <w:tcPr>
            <w:tcW w:w="2294" w:type="dxa"/>
          </w:tcPr>
          <w:p w14:paraId="3AA00CD0" w14:textId="77777777" w:rsidR="00FD5F0D" w:rsidRDefault="00FD5F0D" w:rsidP="008E2DB3">
            <w:pPr>
              <w:rPr>
                <w:rFonts w:cs="Arial"/>
                <w:sz w:val="22"/>
              </w:rPr>
            </w:pPr>
          </w:p>
        </w:tc>
        <w:tc>
          <w:tcPr>
            <w:tcW w:w="0" w:type="auto"/>
          </w:tcPr>
          <w:p w14:paraId="29185F9B" w14:textId="77777777" w:rsidR="00FD5F0D" w:rsidRDefault="00FD5F0D" w:rsidP="008E2DB3">
            <w:pPr>
              <w:rPr>
                <w:rFonts w:cs="Arial"/>
                <w:sz w:val="22"/>
              </w:rPr>
            </w:pPr>
            <w:r>
              <w:rPr>
                <w:rFonts w:cs="Arial"/>
                <w:sz w:val="22"/>
              </w:rPr>
              <w:t>April 2019</w:t>
            </w:r>
          </w:p>
        </w:tc>
      </w:tr>
      <w:tr w:rsidR="00FD5F0D" w:rsidRPr="00A05DFF" w14:paraId="22EC1778" w14:textId="77777777" w:rsidTr="008E2DB3">
        <w:trPr>
          <w:trHeight w:val="757"/>
        </w:trPr>
        <w:tc>
          <w:tcPr>
            <w:tcW w:w="1101" w:type="dxa"/>
          </w:tcPr>
          <w:p w14:paraId="7221245E" w14:textId="77777777" w:rsidR="00FD5F0D" w:rsidRDefault="00FD5F0D" w:rsidP="008E2DB3">
            <w:pPr>
              <w:rPr>
                <w:rFonts w:cs="Arial"/>
                <w:sz w:val="22"/>
              </w:rPr>
            </w:pPr>
            <w:r>
              <w:rPr>
                <w:rFonts w:cs="Arial"/>
                <w:sz w:val="22"/>
              </w:rPr>
              <w:t>2.4</w:t>
            </w:r>
          </w:p>
        </w:tc>
        <w:tc>
          <w:tcPr>
            <w:tcW w:w="3543" w:type="dxa"/>
          </w:tcPr>
          <w:p w14:paraId="7C7D15BE" w14:textId="77777777" w:rsidR="00FD5F0D" w:rsidRDefault="00FD5F0D" w:rsidP="008E2DB3">
            <w:pPr>
              <w:rPr>
                <w:rFonts w:cs="Arial"/>
                <w:sz w:val="22"/>
              </w:rPr>
            </w:pPr>
            <w:r>
              <w:rPr>
                <w:rFonts w:cs="Arial"/>
                <w:sz w:val="22"/>
              </w:rPr>
              <w:t>Review of processes and guidance</w:t>
            </w:r>
          </w:p>
        </w:tc>
        <w:tc>
          <w:tcPr>
            <w:tcW w:w="2294" w:type="dxa"/>
          </w:tcPr>
          <w:p w14:paraId="65B813EE" w14:textId="77777777" w:rsidR="00FD5F0D" w:rsidRDefault="00FD5F0D" w:rsidP="008E2DB3">
            <w:pPr>
              <w:rPr>
                <w:rFonts w:cs="Arial"/>
                <w:sz w:val="22"/>
              </w:rPr>
            </w:pPr>
            <w:r>
              <w:rPr>
                <w:rFonts w:cs="Arial"/>
                <w:sz w:val="22"/>
              </w:rPr>
              <w:t>ISG Board</w:t>
            </w:r>
          </w:p>
        </w:tc>
        <w:tc>
          <w:tcPr>
            <w:tcW w:w="0" w:type="auto"/>
          </w:tcPr>
          <w:p w14:paraId="61E17FAE" w14:textId="77777777" w:rsidR="00FD5F0D" w:rsidRDefault="00FD5F0D" w:rsidP="008E2DB3">
            <w:pPr>
              <w:rPr>
                <w:rFonts w:cs="Arial"/>
                <w:sz w:val="22"/>
              </w:rPr>
            </w:pPr>
            <w:r>
              <w:rPr>
                <w:rFonts w:cs="Arial"/>
                <w:sz w:val="22"/>
              </w:rPr>
              <w:t>February 2020</w:t>
            </w:r>
          </w:p>
        </w:tc>
      </w:tr>
      <w:tr w:rsidR="007E6B1A" w:rsidRPr="00A05DFF" w14:paraId="68FE1A2C" w14:textId="77777777" w:rsidTr="008E2DB3">
        <w:trPr>
          <w:trHeight w:val="757"/>
        </w:trPr>
        <w:tc>
          <w:tcPr>
            <w:tcW w:w="1101" w:type="dxa"/>
          </w:tcPr>
          <w:p w14:paraId="331CB537" w14:textId="058FE1FC" w:rsidR="007E6B1A" w:rsidRDefault="007E6B1A" w:rsidP="008E2DB3">
            <w:pPr>
              <w:rPr>
                <w:rFonts w:cs="Arial"/>
                <w:sz w:val="22"/>
              </w:rPr>
            </w:pPr>
            <w:r>
              <w:rPr>
                <w:rFonts w:cs="Arial"/>
                <w:sz w:val="22"/>
              </w:rPr>
              <w:t>2.5</w:t>
            </w:r>
          </w:p>
        </w:tc>
        <w:tc>
          <w:tcPr>
            <w:tcW w:w="3543" w:type="dxa"/>
          </w:tcPr>
          <w:p w14:paraId="6F60DFB6" w14:textId="3DED162C" w:rsidR="007E6B1A" w:rsidRDefault="007E6B1A" w:rsidP="008E2DB3">
            <w:pPr>
              <w:rPr>
                <w:rFonts w:cs="Arial"/>
                <w:sz w:val="22"/>
              </w:rPr>
            </w:pPr>
            <w:r>
              <w:rPr>
                <w:rFonts w:cs="Arial"/>
                <w:sz w:val="22"/>
              </w:rPr>
              <w:t>UK GDPR legislation and BREXIT update</w:t>
            </w:r>
          </w:p>
        </w:tc>
        <w:tc>
          <w:tcPr>
            <w:tcW w:w="2294" w:type="dxa"/>
          </w:tcPr>
          <w:p w14:paraId="7273360F" w14:textId="3413F4AB" w:rsidR="007E6B1A" w:rsidRDefault="007E6B1A" w:rsidP="008E2DB3">
            <w:pPr>
              <w:rPr>
                <w:rFonts w:cs="Arial"/>
                <w:sz w:val="22"/>
              </w:rPr>
            </w:pPr>
            <w:r>
              <w:rPr>
                <w:rFonts w:cs="Arial"/>
                <w:sz w:val="22"/>
              </w:rPr>
              <w:t>ISG Board</w:t>
            </w:r>
          </w:p>
        </w:tc>
        <w:tc>
          <w:tcPr>
            <w:tcW w:w="0" w:type="auto"/>
          </w:tcPr>
          <w:p w14:paraId="48EDE1D9" w14:textId="739C9E4A" w:rsidR="007E6B1A" w:rsidRDefault="007E6B1A" w:rsidP="008E2DB3">
            <w:pPr>
              <w:rPr>
                <w:rFonts w:cs="Arial"/>
                <w:sz w:val="22"/>
              </w:rPr>
            </w:pPr>
            <w:r>
              <w:rPr>
                <w:rFonts w:cs="Arial"/>
                <w:sz w:val="22"/>
              </w:rPr>
              <w:t>September 2022</w:t>
            </w:r>
          </w:p>
        </w:tc>
      </w:tr>
    </w:tbl>
    <w:p w14:paraId="564D2797" w14:textId="77777777" w:rsidR="00FD5F0D" w:rsidRPr="00A05DFF" w:rsidRDefault="00FD5F0D" w:rsidP="00FD5F0D">
      <w:pPr>
        <w:ind w:left="142" w:right="-46"/>
        <w:jc w:val="both"/>
        <w:rPr>
          <w:rFonts w:cs="Arial"/>
          <w:sz w:val="22"/>
        </w:rPr>
      </w:pPr>
    </w:p>
    <w:p w14:paraId="392BA9D4" w14:textId="4B566DED" w:rsidR="00F36FA2" w:rsidRDefault="00F36FA2" w:rsidP="00500555">
      <w:pPr>
        <w:jc w:val="both"/>
        <w:rPr>
          <w:rFonts w:cs="Arial"/>
          <w:szCs w:val="24"/>
        </w:rPr>
      </w:pPr>
    </w:p>
    <w:p w14:paraId="54B279D8" w14:textId="77777777" w:rsidR="00C625B0" w:rsidRPr="00F36FA2" w:rsidRDefault="000D23AF" w:rsidP="00351BCA">
      <w:pPr>
        <w:pStyle w:val="Heading1"/>
        <w:rPr>
          <w:rFonts w:ascii="Arial" w:hAnsi="Arial" w:cs="Arial"/>
          <w:sz w:val="24"/>
          <w:szCs w:val="24"/>
        </w:rPr>
      </w:pPr>
      <w:bookmarkStart w:id="28" w:name="_Toc117514770"/>
      <w:r w:rsidRPr="00F36FA2">
        <w:rPr>
          <w:rFonts w:ascii="Arial" w:hAnsi="Arial" w:cs="Arial"/>
          <w:sz w:val="24"/>
          <w:szCs w:val="24"/>
        </w:rPr>
        <w:t>Endmatter</w:t>
      </w:r>
      <w:bookmarkEnd w:id="28"/>
    </w:p>
    <w:p w14:paraId="5DF93972" w14:textId="77777777" w:rsidR="006A5B50" w:rsidRPr="00F36FA2" w:rsidRDefault="006A5B50" w:rsidP="006A5B50">
      <w:pPr>
        <w:rPr>
          <w:rFonts w:cs="Arial"/>
          <w:szCs w:val="24"/>
        </w:rPr>
      </w:pPr>
    </w:p>
    <w:tbl>
      <w:tblPr>
        <w:tblStyle w:val="TableGrid"/>
        <w:tblW w:w="0" w:type="auto"/>
        <w:tblLook w:val="04A0" w:firstRow="1" w:lastRow="0" w:firstColumn="1" w:lastColumn="0" w:noHBand="0" w:noVBand="1"/>
      </w:tblPr>
      <w:tblGrid>
        <w:gridCol w:w="2754"/>
        <w:gridCol w:w="6262"/>
      </w:tblGrid>
      <w:tr w:rsidR="000D23AF" w:rsidRPr="00F36FA2" w14:paraId="79D896FD" w14:textId="77777777" w:rsidTr="006A2BAC">
        <w:trPr>
          <w:tblHeader/>
        </w:trPr>
        <w:tc>
          <w:tcPr>
            <w:tcW w:w="2808" w:type="dxa"/>
          </w:tcPr>
          <w:p w14:paraId="3D1DAC6C" w14:textId="77777777" w:rsidR="000D23AF" w:rsidRPr="00F36FA2" w:rsidRDefault="000D23AF" w:rsidP="0002664D">
            <w:pPr>
              <w:rPr>
                <w:rFonts w:cs="Arial"/>
                <w:szCs w:val="24"/>
              </w:rPr>
            </w:pPr>
            <w:r w:rsidRPr="00F36FA2">
              <w:rPr>
                <w:rFonts w:cs="Arial"/>
                <w:szCs w:val="24"/>
              </w:rPr>
              <w:t>Title</w:t>
            </w:r>
          </w:p>
        </w:tc>
        <w:tc>
          <w:tcPr>
            <w:tcW w:w="6434" w:type="dxa"/>
          </w:tcPr>
          <w:p w14:paraId="366C7531" w14:textId="403CFC9F" w:rsidR="000D23AF" w:rsidRPr="00F36FA2" w:rsidRDefault="00500555" w:rsidP="0002664D">
            <w:pPr>
              <w:rPr>
                <w:rFonts w:cs="Arial"/>
                <w:szCs w:val="24"/>
              </w:rPr>
            </w:pPr>
            <w:r w:rsidRPr="00F36FA2">
              <w:rPr>
                <w:rFonts w:cs="Arial"/>
                <w:szCs w:val="24"/>
              </w:rPr>
              <w:t>Data Protection Policy</w:t>
            </w:r>
          </w:p>
        </w:tc>
      </w:tr>
      <w:tr w:rsidR="000D23AF" w:rsidRPr="00F36FA2" w14:paraId="2F281DDB" w14:textId="77777777" w:rsidTr="006A2BAC">
        <w:trPr>
          <w:tblHeader/>
        </w:trPr>
        <w:tc>
          <w:tcPr>
            <w:tcW w:w="2808" w:type="dxa"/>
          </w:tcPr>
          <w:p w14:paraId="05255EFA" w14:textId="77777777" w:rsidR="000D23AF" w:rsidRPr="00F36FA2" w:rsidRDefault="00683E10" w:rsidP="0002664D">
            <w:pPr>
              <w:rPr>
                <w:rFonts w:cs="Arial"/>
                <w:szCs w:val="24"/>
              </w:rPr>
            </w:pPr>
            <w:r w:rsidRPr="00F36FA2">
              <w:rPr>
                <w:rFonts w:cs="Arial"/>
                <w:szCs w:val="24"/>
              </w:rPr>
              <w:t xml:space="preserve">Policy </w:t>
            </w:r>
            <w:r w:rsidR="000D23AF" w:rsidRPr="00F36FA2">
              <w:rPr>
                <w:rFonts w:cs="Arial"/>
                <w:szCs w:val="24"/>
              </w:rPr>
              <w:t>Owner</w:t>
            </w:r>
          </w:p>
        </w:tc>
        <w:tc>
          <w:tcPr>
            <w:tcW w:w="6434" w:type="dxa"/>
          </w:tcPr>
          <w:p w14:paraId="05B94210" w14:textId="5CE1864B" w:rsidR="000D23AF" w:rsidRPr="00F36FA2" w:rsidRDefault="00500555" w:rsidP="0002664D">
            <w:pPr>
              <w:rPr>
                <w:rFonts w:cs="Arial"/>
                <w:szCs w:val="24"/>
              </w:rPr>
            </w:pPr>
            <w:r w:rsidRPr="00F36FA2">
              <w:rPr>
                <w:rFonts w:cs="Arial"/>
                <w:szCs w:val="24"/>
              </w:rPr>
              <w:t>Planning &amp; Data Protection Officer</w:t>
            </w:r>
          </w:p>
        </w:tc>
      </w:tr>
      <w:tr w:rsidR="000D23AF" w:rsidRPr="00F36FA2" w14:paraId="400D98A3" w14:textId="77777777" w:rsidTr="006A2BAC">
        <w:trPr>
          <w:tblHeader/>
        </w:trPr>
        <w:tc>
          <w:tcPr>
            <w:tcW w:w="2808" w:type="dxa"/>
          </w:tcPr>
          <w:p w14:paraId="310E1D52" w14:textId="77777777" w:rsidR="000D23AF" w:rsidRPr="00F36FA2" w:rsidRDefault="000D23AF" w:rsidP="0002664D">
            <w:pPr>
              <w:rPr>
                <w:rFonts w:cs="Arial"/>
                <w:szCs w:val="24"/>
              </w:rPr>
            </w:pPr>
            <w:r w:rsidRPr="00F36FA2">
              <w:rPr>
                <w:rFonts w:cs="Arial"/>
                <w:szCs w:val="24"/>
              </w:rPr>
              <w:t>Approved by</w:t>
            </w:r>
          </w:p>
        </w:tc>
        <w:tc>
          <w:tcPr>
            <w:tcW w:w="6434" w:type="dxa"/>
          </w:tcPr>
          <w:p w14:paraId="0587A690" w14:textId="45A95FC5" w:rsidR="000D23AF" w:rsidRPr="00F36FA2" w:rsidRDefault="008B3CD5" w:rsidP="0002664D">
            <w:pPr>
              <w:rPr>
                <w:rFonts w:cs="Arial"/>
                <w:szCs w:val="24"/>
              </w:rPr>
            </w:pPr>
            <w:r>
              <w:rPr>
                <w:rFonts w:cs="Arial"/>
                <w:szCs w:val="24"/>
              </w:rPr>
              <w:t>ISG</w:t>
            </w:r>
          </w:p>
        </w:tc>
      </w:tr>
      <w:tr w:rsidR="000D23AF" w:rsidRPr="00F36FA2" w14:paraId="1E48E041" w14:textId="77777777" w:rsidTr="006A2BAC">
        <w:trPr>
          <w:tblHeader/>
        </w:trPr>
        <w:tc>
          <w:tcPr>
            <w:tcW w:w="2808" w:type="dxa"/>
          </w:tcPr>
          <w:p w14:paraId="64A57323" w14:textId="77777777" w:rsidR="000D23AF" w:rsidRPr="00F36FA2" w:rsidRDefault="000D23AF" w:rsidP="00683E10">
            <w:pPr>
              <w:rPr>
                <w:rFonts w:cs="Arial"/>
                <w:szCs w:val="24"/>
              </w:rPr>
            </w:pPr>
            <w:r w:rsidRPr="00F36FA2">
              <w:rPr>
                <w:rFonts w:cs="Arial"/>
                <w:szCs w:val="24"/>
              </w:rPr>
              <w:t xml:space="preserve">Date of </w:t>
            </w:r>
            <w:r w:rsidR="00683E10" w:rsidRPr="00F36FA2">
              <w:rPr>
                <w:rFonts w:cs="Arial"/>
                <w:szCs w:val="24"/>
              </w:rPr>
              <w:t>Approval</w:t>
            </w:r>
          </w:p>
        </w:tc>
        <w:tc>
          <w:tcPr>
            <w:tcW w:w="6434" w:type="dxa"/>
          </w:tcPr>
          <w:p w14:paraId="3A3F0252" w14:textId="77777777" w:rsidR="000D23AF" w:rsidRPr="00F36FA2" w:rsidRDefault="000D23AF" w:rsidP="0002664D">
            <w:pPr>
              <w:rPr>
                <w:rFonts w:cs="Arial"/>
                <w:szCs w:val="24"/>
              </w:rPr>
            </w:pPr>
          </w:p>
        </w:tc>
      </w:tr>
      <w:tr w:rsidR="000D23AF" w:rsidRPr="00F36FA2" w14:paraId="05E14ED8" w14:textId="77777777" w:rsidTr="006A2BAC">
        <w:trPr>
          <w:tblHeader/>
        </w:trPr>
        <w:tc>
          <w:tcPr>
            <w:tcW w:w="2808" w:type="dxa"/>
          </w:tcPr>
          <w:p w14:paraId="6CCFD6A2" w14:textId="77777777" w:rsidR="000D23AF" w:rsidRPr="00F36FA2" w:rsidRDefault="000D23AF" w:rsidP="0002664D">
            <w:pPr>
              <w:rPr>
                <w:rFonts w:cs="Arial"/>
                <w:szCs w:val="24"/>
              </w:rPr>
            </w:pPr>
            <w:r w:rsidRPr="00F36FA2">
              <w:rPr>
                <w:rFonts w:cs="Arial"/>
                <w:szCs w:val="24"/>
              </w:rPr>
              <w:t xml:space="preserve">Date for Review </w:t>
            </w:r>
          </w:p>
        </w:tc>
        <w:tc>
          <w:tcPr>
            <w:tcW w:w="6434" w:type="dxa"/>
          </w:tcPr>
          <w:p w14:paraId="7C69E774" w14:textId="388DA79C" w:rsidR="000D23AF" w:rsidRPr="00F36FA2" w:rsidRDefault="00500555" w:rsidP="0002664D">
            <w:pPr>
              <w:rPr>
                <w:rFonts w:cs="Arial"/>
                <w:szCs w:val="24"/>
              </w:rPr>
            </w:pPr>
            <w:r w:rsidRPr="00F36FA2">
              <w:rPr>
                <w:rFonts w:cs="Arial"/>
                <w:szCs w:val="24"/>
              </w:rPr>
              <w:t>01/0</w:t>
            </w:r>
            <w:r w:rsidR="00FD5F0D">
              <w:rPr>
                <w:rFonts w:cs="Arial"/>
                <w:szCs w:val="24"/>
              </w:rPr>
              <w:t>9</w:t>
            </w:r>
            <w:r w:rsidRPr="00F36FA2">
              <w:rPr>
                <w:rFonts w:cs="Arial"/>
                <w:szCs w:val="24"/>
              </w:rPr>
              <w:t>/202</w:t>
            </w:r>
            <w:r w:rsidR="008B3CD5">
              <w:rPr>
                <w:rFonts w:cs="Arial"/>
                <w:szCs w:val="24"/>
              </w:rPr>
              <w:t>5</w:t>
            </w:r>
          </w:p>
        </w:tc>
      </w:tr>
    </w:tbl>
    <w:p w14:paraId="2F9A7821" w14:textId="77777777" w:rsidR="00C625B0" w:rsidRPr="00F36FA2" w:rsidRDefault="00C625B0" w:rsidP="006A5B50">
      <w:pPr>
        <w:rPr>
          <w:rFonts w:cs="Arial"/>
          <w:szCs w:val="24"/>
        </w:rPr>
      </w:pPr>
    </w:p>
    <w:sectPr w:rsidR="00C625B0" w:rsidRPr="00F36FA2" w:rsidSect="006A5B50">
      <w:footerReference w:type="default" r:id="rId12"/>
      <w:footerReference w:type="first" r:id="rId13"/>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4F08" w14:textId="77777777" w:rsidR="006A5B50" w:rsidRDefault="006A5B50" w:rsidP="006A5B50">
      <w:pPr>
        <w:spacing w:after="0" w:line="240" w:lineRule="auto"/>
      </w:pPr>
      <w:r>
        <w:separator/>
      </w:r>
    </w:p>
  </w:endnote>
  <w:endnote w:type="continuationSeparator" w:id="0">
    <w:p w14:paraId="6960029D" w14:textId="77777777" w:rsidR="006A5B50" w:rsidRDefault="006A5B50"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7D4C6955" w14:textId="77777777" w:rsidR="007F06C7" w:rsidRDefault="007F06C7">
        <w:pPr>
          <w:pStyle w:val="Footer"/>
          <w:jc w:val="center"/>
        </w:pPr>
        <w:r>
          <w:fldChar w:fldCharType="begin"/>
        </w:r>
        <w:r>
          <w:instrText xml:space="preserve"> PAGE   \* MERGEFORMAT </w:instrText>
        </w:r>
        <w:r>
          <w:fldChar w:fldCharType="separate"/>
        </w:r>
        <w:r w:rsidR="00683E10">
          <w:rPr>
            <w:noProof/>
          </w:rPr>
          <w:t>4</w:t>
        </w:r>
        <w:r>
          <w:rPr>
            <w:noProof/>
          </w:rPr>
          <w:fldChar w:fldCharType="end"/>
        </w:r>
      </w:p>
    </w:sdtContent>
  </w:sdt>
  <w:p w14:paraId="7771D5CA"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9A3E"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3B81F95D" wp14:editId="780AAE7F">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40F8" w14:textId="77777777" w:rsidR="006A5B50" w:rsidRDefault="006A5B50" w:rsidP="006A5B50">
      <w:pPr>
        <w:spacing w:after="0" w:line="240" w:lineRule="auto"/>
      </w:pPr>
      <w:r>
        <w:separator/>
      </w:r>
    </w:p>
  </w:footnote>
  <w:footnote w:type="continuationSeparator" w:id="0">
    <w:p w14:paraId="7897F03D" w14:textId="77777777" w:rsidR="006A5B50" w:rsidRDefault="006A5B50"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C7182"/>
    <w:multiLevelType w:val="hybridMultilevel"/>
    <w:tmpl w:val="4C024580"/>
    <w:lvl w:ilvl="0" w:tplc="3E4A01A4">
      <w:start w:val="1"/>
      <w:numFmt w:val="bullet"/>
      <w:lvlText w:val=""/>
      <w:lvlJc w:val="left"/>
      <w:pPr>
        <w:ind w:left="928" w:hanging="360"/>
      </w:pPr>
      <w:rPr>
        <w:rFonts w:ascii="Symbol" w:hAnsi="Symbol" w:hint="default"/>
      </w:rPr>
    </w:lvl>
    <w:lvl w:ilvl="1" w:tplc="08090003">
      <w:start w:val="1"/>
      <w:numFmt w:val="bullet"/>
      <w:lvlText w:val="o"/>
      <w:lvlJc w:val="left"/>
      <w:pPr>
        <w:ind w:left="5259" w:hanging="360"/>
      </w:pPr>
      <w:rPr>
        <w:rFonts w:ascii="Courier New" w:hAnsi="Courier New" w:cs="Courier New" w:hint="default"/>
      </w:rPr>
    </w:lvl>
    <w:lvl w:ilvl="2" w:tplc="08090005" w:tentative="1">
      <w:start w:val="1"/>
      <w:numFmt w:val="bullet"/>
      <w:lvlText w:val=""/>
      <w:lvlJc w:val="left"/>
      <w:pPr>
        <w:ind w:left="5979" w:hanging="360"/>
      </w:pPr>
      <w:rPr>
        <w:rFonts w:ascii="Wingdings" w:hAnsi="Wingdings" w:hint="default"/>
      </w:rPr>
    </w:lvl>
    <w:lvl w:ilvl="3" w:tplc="08090001" w:tentative="1">
      <w:start w:val="1"/>
      <w:numFmt w:val="bullet"/>
      <w:lvlText w:val=""/>
      <w:lvlJc w:val="left"/>
      <w:pPr>
        <w:ind w:left="6699" w:hanging="360"/>
      </w:pPr>
      <w:rPr>
        <w:rFonts w:ascii="Symbol" w:hAnsi="Symbol" w:hint="default"/>
      </w:rPr>
    </w:lvl>
    <w:lvl w:ilvl="4" w:tplc="08090003" w:tentative="1">
      <w:start w:val="1"/>
      <w:numFmt w:val="bullet"/>
      <w:lvlText w:val="o"/>
      <w:lvlJc w:val="left"/>
      <w:pPr>
        <w:ind w:left="7419" w:hanging="360"/>
      </w:pPr>
      <w:rPr>
        <w:rFonts w:ascii="Courier New" w:hAnsi="Courier New" w:cs="Courier New" w:hint="default"/>
      </w:rPr>
    </w:lvl>
    <w:lvl w:ilvl="5" w:tplc="08090005" w:tentative="1">
      <w:start w:val="1"/>
      <w:numFmt w:val="bullet"/>
      <w:lvlText w:val=""/>
      <w:lvlJc w:val="left"/>
      <w:pPr>
        <w:ind w:left="8139" w:hanging="360"/>
      </w:pPr>
      <w:rPr>
        <w:rFonts w:ascii="Wingdings" w:hAnsi="Wingdings" w:hint="default"/>
      </w:rPr>
    </w:lvl>
    <w:lvl w:ilvl="6" w:tplc="08090001" w:tentative="1">
      <w:start w:val="1"/>
      <w:numFmt w:val="bullet"/>
      <w:lvlText w:val=""/>
      <w:lvlJc w:val="left"/>
      <w:pPr>
        <w:ind w:left="8859" w:hanging="360"/>
      </w:pPr>
      <w:rPr>
        <w:rFonts w:ascii="Symbol" w:hAnsi="Symbol" w:hint="default"/>
      </w:rPr>
    </w:lvl>
    <w:lvl w:ilvl="7" w:tplc="08090003" w:tentative="1">
      <w:start w:val="1"/>
      <w:numFmt w:val="bullet"/>
      <w:lvlText w:val="o"/>
      <w:lvlJc w:val="left"/>
      <w:pPr>
        <w:ind w:left="9579" w:hanging="360"/>
      </w:pPr>
      <w:rPr>
        <w:rFonts w:ascii="Courier New" w:hAnsi="Courier New" w:cs="Courier New" w:hint="default"/>
      </w:rPr>
    </w:lvl>
    <w:lvl w:ilvl="8" w:tplc="08090005" w:tentative="1">
      <w:start w:val="1"/>
      <w:numFmt w:val="bullet"/>
      <w:lvlText w:val=""/>
      <w:lvlJc w:val="left"/>
      <w:pPr>
        <w:ind w:left="10299" w:hanging="360"/>
      </w:pPr>
      <w:rPr>
        <w:rFonts w:ascii="Wingdings" w:hAnsi="Wingdings" w:hint="default"/>
      </w:rPr>
    </w:lvl>
  </w:abstractNum>
  <w:abstractNum w:abstractNumId="2" w15:restartNumberingAfterBreak="0">
    <w:nsid w:val="0F7F3FAB"/>
    <w:multiLevelType w:val="hybridMultilevel"/>
    <w:tmpl w:val="76AC11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167FC0"/>
    <w:multiLevelType w:val="multilevel"/>
    <w:tmpl w:val="7C6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12080"/>
    <w:multiLevelType w:val="hybridMultilevel"/>
    <w:tmpl w:val="6FA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642E3"/>
    <w:multiLevelType w:val="hybridMultilevel"/>
    <w:tmpl w:val="96001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AE26E2"/>
    <w:multiLevelType w:val="multilevel"/>
    <w:tmpl w:val="B7FC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67257B"/>
    <w:multiLevelType w:val="multilevel"/>
    <w:tmpl w:val="AA4EDF5E"/>
    <w:lvl w:ilvl="0">
      <w:start w:val="1"/>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5F38F0"/>
    <w:multiLevelType w:val="multilevel"/>
    <w:tmpl w:val="3902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276245">
    <w:abstractNumId w:val="0"/>
  </w:num>
  <w:num w:numId="2" w16cid:durableId="898173082">
    <w:abstractNumId w:val="6"/>
  </w:num>
  <w:num w:numId="3" w16cid:durableId="1069959766">
    <w:abstractNumId w:val="8"/>
  </w:num>
  <w:num w:numId="4" w16cid:durableId="1408381164">
    <w:abstractNumId w:val="10"/>
  </w:num>
  <w:num w:numId="5" w16cid:durableId="532160537">
    <w:abstractNumId w:val="3"/>
  </w:num>
  <w:num w:numId="6" w16cid:durableId="1192914706">
    <w:abstractNumId w:val="7"/>
  </w:num>
  <w:num w:numId="7" w16cid:durableId="540702722">
    <w:abstractNumId w:val="1"/>
  </w:num>
  <w:num w:numId="8" w16cid:durableId="1130321166">
    <w:abstractNumId w:val="2"/>
  </w:num>
  <w:num w:numId="9" w16cid:durableId="704910732">
    <w:abstractNumId w:val="9"/>
  </w:num>
  <w:num w:numId="10" w16cid:durableId="745032920">
    <w:abstractNumId w:val="5"/>
  </w:num>
  <w:num w:numId="11" w16cid:durableId="1864712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D23AF"/>
    <w:rsid w:val="000F3143"/>
    <w:rsid w:val="000F7626"/>
    <w:rsid w:val="00191125"/>
    <w:rsid w:val="001F5507"/>
    <w:rsid w:val="0027502C"/>
    <w:rsid w:val="00351BCA"/>
    <w:rsid w:val="00500555"/>
    <w:rsid w:val="00683E10"/>
    <w:rsid w:val="006A2BAC"/>
    <w:rsid w:val="006A5B50"/>
    <w:rsid w:val="00722685"/>
    <w:rsid w:val="00745DC4"/>
    <w:rsid w:val="007E6B1A"/>
    <w:rsid w:val="007F06C7"/>
    <w:rsid w:val="00854F06"/>
    <w:rsid w:val="008601FC"/>
    <w:rsid w:val="008B3CD5"/>
    <w:rsid w:val="008E184F"/>
    <w:rsid w:val="00971F84"/>
    <w:rsid w:val="00990C55"/>
    <w:rsid w:val="00A73C4D"/>
    <w:rsid w:val="00B7455A"/>
    <w:rsid w:val="00B86B25"/>
    <w:rsid w:val="00B9129E"/>
    <w:rsid w:val="00BB7F0E"/>
    <w:rsid w:val="00BE45BD"/>
    <w:rsid w:val="00C2739B"/>
    <w:rsid w:val="00C625B0"/>
    <w:rsid w:val="00CF75EE"/>
    <w:rsid w:val="00D84C7A"/>
    <w:rsid w:val="00D872A1"/>
    <w:rsid w:val="00E21F75"/>
    <w:rsid w:val="00E676EF"/>
    <w:rsid w:val="00F36FA2"/>
    <w:rsid w:val="00FD1980"/>
    <w:rsid w:val="00FD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59E1DD"/>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500555"/>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1"/>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styleId="CommentReference">
    <w:name w:val="annotation reference"/>
    <w:basedOn w:val="DefaultParagraphFont"/>
    <w:uiPriority w:val="99"/>
    <w:semiHidden/>
    <w:unhideWhenUsed/>
    <w:rsid w:val="00500555"/>
    <w:rPr>
      <w:sz w:val="16"/>
      <w:szCs w:val="16"/>
    </w:rPr>
  </w:style>
  <w:style w:type="paragraph" w:styleId="CommentText">
    <w:name w:val="annotation text"/>
    <w:basedOn w:val="Normal"/>
    <w:link w:val="CommentTextChar"/>
    <w:uiPriority w:val="99"/>
    <w:semiHidden/>
    <w:unhideWhenUsed/>
    <w:rsid w:val="00500555"/>
    <w:pPr>
      <w:spacing w:line="240" w:lineRule="auto"/>
    </w:pPr>
    <w:rPr>
      <w:sz w:val="20"/>
      <w:szCs w:val="20"/>
    </w:rPr>
  </w:style>
  <w:style w:type="character" w:customStyle="1" w:styleId="CommentTextChar">
    <w:name w:val="Comment Text Char"/>
    <w:basedOn w:val="DefaultParagraphFont"/>
    <w:link w:val="CommentText"/>
    <w:uiPriority w:val="99"/>
    <w:semiHidden/>
    <w:rsid w:val="005005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0555"/>
    <w:rPr>
      <w:b/>
      <w:bCs/>
    </w:rPr>
  </w:style>
  <w:style w:type="character" w:customStyle="1" w:styleId="CommentSubjectChar">
    <w:name w:val="Comment Subject Char"/>
    <w:basedOn w:val="CommentTextChar"/>
    <w:link w:val="CommentSubject"/>
    <w:uiPriority w:val="99"/>
    <w:semiHidden/>
    <w:rsid w:val="00500555"/>
    <w:rPr>
      <w:rFonts w:ascii="Arial" w:hAnsi="Arial"/>
      <w:b/>
      <w:bCs/>
      <w:sz w:val="20"/>
      <w:szCs w:val="20"/>
    </w:rPr>
  </w:style>
  <w:style w:type="table" w:styleId="TableGridLight">
    <w:name w:val="Grid Table Light"/>
    <w:basedOn w:val="TableNormal"/>
    <w:uiPriority w:val="40"/>
    <w:rsid w:val="0050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00555"/>
    <w:rPr>
      <w:rFonts w:asciiTheme="majorHAnsi" w:eastAsiaTheme="majorEastAsia" w:hAnsiTheme="majorHAnsi" w:cstheme="majorBidi"/>
      <w:color w:val="3F003F" w:themeColor="accent1" w:themeShade="7F"/>
      <w:sz w:val="24"/>
      <w:szCs w:val="24"/>
    </w:rPr>
  </w:style>
  <w:style w:type="paragraph" w:styleId="TOC3">
    <w:name w:val="toc 3"/>
    <w:basedOn w:val="Normal"/>
    <w:next w:val="Normal"/>
    <w:autoRedefine/>
    <w:uiPriority w:val="39"/>
    <w:unhideWhenUsed/>
    <w:rsid w:val="005005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edgehill.ac.uk/display/compliance/Information+Governance+Guidance+and+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F2EFE2C244E4E98DB2E9FDCEFDB15" ma:contentTypeVersion="10" ma:contentTypeDescription="Create a new document." ma:contentTypeScope="" ma:versionID="0b996a23deafdfe2ccd3d0ff11cf6aa4">
  <xsd:schema xmlns:xsd="http://www.w3.org/2001/XMLSchema" xmlns:xs="http://www.w3.org/2001/XMLSchema" xmlns:p="http://schemas.microsoft.com/office/2006/metadata/properties" xmlns:ns3="9a03c9cb-2082-490d-9cae-890e53043551" xmlns:ns4="861c559b-f7a2-4957-b33d-2544bce51ea4" targetNamespace="http://schemas.microsoft.com/office/2006/metadata/properties" ma:root="true" ma:fieldsID="8baf004bbf80f4a664fcc974214d61e7" ns3:_="" ns4:_="">
    <xsd:import namespace="9a03c9cb-2082-490d-9cae-890e53043551"/>
    <xsd:import namespace="861c559b-f7a2-4957-b33d-2544bce51ea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c9cb-2082-490d-9cae-890e530435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c559b-f7a2-4957-b33d-2544bce51ea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DB90-37EF-4159-981E-E700EFB79152}">
  <ds:schemaRefs>
    <ds:schemaRef ds:uri="http://schemas.microsoft.com/office/2006/metadata/properties"/>
    <ds:schemaRef ds:uri="http://purl.org/dc/dcmitype/"/>
    <ds:schemaRef ds:uri="861c559b-f7a2-4957-b33d-2544bce51ea4"/>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a03c9cb-2082-490d-9cae-890e53043551"/>
    <ds:schemaRef ds:uri="http://www.w3.org/XML/1998/namespace"/>
  </ds:schemaRefs>
</ds:datastoreItem>
</file>

<file path=customXml/itemProps2.xml><?xml version="1.0" encoding="utf-8"?>
<ds:datastoreItem xmlns:ds="http://schemas.openxmlformats.org/officeDocument/2006/customXml" ds:itemID="{1716D3BB-8C60-46B7-AE0B-70F7928A728D}">
  <ds:schemaRefs>
    <ds:schemaRef ds:uri="http://schemas.microsoft.com/sharepoint/v3/contenttype/forms"/>
  </ds:schemaRefs>
</ds:datastoreItem>
</file>

<file path=customXml/itemProps3.xml><?xml version="1.0" encoding="utf-8"?>
<ds:datastoreItem xmlns:ds="http://schemas.openxmlformats.org/officeDocument/2006/customXml" ds:itemID="{6C53FBEB-3320-4225-9794-1C3A12827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c9cb-2082-490d-9cae-890e53043551"/>
    <ds:schemaRef ds:uri="861c559b-f7a2-4957-b33d-2544bce51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4AA94-D029-46FB-9FDE-F534CB86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Cobain</dc:creator>
  <cp:keywords/>
  <dc:description/>
  <cp:lastModifiedBy>Richard Rogers</cp:lastModifiedBy>
  <cp:revision>7</cp:revision>
  <dcterms:created xsi:type="dcterms:W3CDTF">2022-10-24T13:39:00Z</dcterms:created>
  <dcterms:modified xsi:type="dcterms:W3CDTF">2024-07-26T09:59:00Z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0x010100157F2EFE2C244E4E98DB2E9FDCEFDB15</vt:lpwstr>
  </property>
</Properties>
</file>