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8966"/>
      </w:tblGrid>
      <w:tr w:rsidR="000D23AF" w14:paraId="66875711" w14:textId="77777777" w:rsidTr="00351BCA">
        <w:tc>
          <w:tcPr>
            <w:tcW w:w="8966" w:type="dxa"/>
          </w:tcPr>
          <w:p w14:paraId="6EB53F51" w14:textId="5BEC2928" w:rsidR="000D23AF" w:rsidRPr="007F06C7" w:rsidRDefault="00885FBB" w:rsidP="0002664D">
            <w:pPr>
              <w:pStyle w:val="NoSpacing"/>
              <w:rPr>
                <w:rFonts w:ascii="Georgia" w:hAnsi="Georgia"/>
                <w:sz w:val="96"/>
              </w:rPr>
            </w:pPr>
            <w:r>
              <w:rPr>
                <w:rFonts w:ascii="Georgia" w:hAnsi="Georgia"/>
                <w:sz w:val="96"/>
              </w:rPr>
              <w:t>Freedom of Information Act 2000</w:t>
            </w:r>
          </w:p>
          <w:p w14:paraId="3A4AE6DC" w14:textId="77777777" w:rsidR="000D23AF" w:rsidRPr="00C625B0" w:rsidRDefault="000D23AF" w:rsidP="0002664D">
            <w:pPr>
              <w:pStyle w:val="NoSpacing"/>
              <w:rPr>
                <w:rFonts w:ascii="Georgia" w:hAnsi="Georgia"/>
              </w:rPr>
            </w:pPr>
          </w:p>
        </w:tc>
      </w:tr>
      <w:tr w:rsidR="000D23AF" w14:paraId="6D623AF6" w14:textId="77777777" w:rsidTr="00351BCA">
        <w:tc>
          <w:tcPr>
            <w:tcW w:w="8966" w:type="dxa"/>
            <w:shd w:val="clear" w:color="auto" w:fill="7030A0"/>
          </w:tcPr>
          <w:p w14:paraId="71241C83" w14:textId="77777777" w:rsidR="000D23AF" w:rsidRDefault="000D23AF" w:rsidP="0002664D">
            <w:pPr>
              <w:pStyle w:val="NoSpacing"/>
            </w:pPr>
          </w:p>
          <w:p w14:paraId="1166B8AA" w14:textId="2441E768" w:rsidR="000D23AF" w:rsidRPr="00C625B0" w:rsidRDefault="00885FBB" w:rsidP="0002664D">
            <w:pPr>
              <w:pStyle w:val="NoSpacing"/>
              <w:rPr>
                <w:b/>
                <w:color w:val="FFFFFF" w:themeColor="background1"/>
              </w:rPr>
            </w:pPr>
            <w:proofErr w:type="gramStart"/>
            <w:r>
              <w:rPr>
                <w:b/>
                <w:color w:val="FFFFFF" w:themeColor="background1"/>
              </w:rPr>
              <w:t>September,</w:t>
            </w:r>
            <w:proofErr w:type="gramEnd"/>
            <w:r>
              <w:rPr>
                <w:b/>
                <w:color w:val="FFFFFF" w:themeColor="background1"/>
              </w:rPr>
              <w:t xml:space="preserve"> 2022</w:t>
            </w:r>
          </w:p>
          <w:p w14:paraId="2CC71AF7" w14:textId="77777777" w:rsidR="000D23AF" w:rsidRDefault="000D23AF" w:rsidP="0002664D">
            <w:pPr>
              <w:pStyle w:val="NoSpacing"/>
            </w:pPr>
          </w:p>
        </w:tc>
      </w:tr>
    </w:tbl>
    <w:p w14:paraId="6C7CE946" w14:textId="77777777" w:rsidR="00C625B0" w:rsidRDefault="00C625B0" w:rsidP="00722685">
      <w:pPr>
        <w:pStyle w:val="NoSpacing"/>
      </w:pPr>
    </w:p>
    <w:p w14:paraId="0F0E10A7" w14:textId="77777777" w:rsidR="00C625B0" w:rsidRDefault="00C625B0" w:rsidP="00722685">
      <w:pPr>
        <w:pStyle w:val="NoSpacing"/>
      </w:pPr>
    </w:p>
    <w:p w14:paraId="29A191A3" w14:textId="77777777" w:rsidR="00C625B0" w:rsidRDefault="00C625B0" w:rsidP="00722685">
      <w:pPr>
        <w:pStyle w:val="NoSpacing"/>
      </w:pPr>
    </w:p>
    <w:p w14:paraId="365CF22E" w14:textId="77777777" w:rsidR="00C625B0" w:rsidRDefault="00C625B0" w:rsidP="00722685">
      <w:pPr>
        <w:pStyle w:val="NoSpacing"/>
      </w:pPr>
    </w:p>
    <w:p w14:paraId="26C3B1FE" w14:textId="77777777" w:rsidR="00C625B0" w:rsidRDefault="00C625B0" w:rsidP="00722685">
      <w:pPr>
        <w:pStyle w:val="NoSpacing"/>
      </w:pPr>
    </w:p>
    <w:p w14:paraId="3C902A9A" w14:textId="77777777" w:rsidR="00C625B0" w:rsidRDefault="00C625B0" w:rsidP="00722685">
      <w:pPr>
        <w:pStyle w:val="NoSpacing"/>
      </w:pPr>
    </w:p>
    <w:p w14:paraId="01BF1ACF" w14:textId="77777777" w:rsidR="00C625B0" w:rsidRDefault="00C625B0" w:rsidP="00722685">
      <w:pPr>
        <w:pStyle w:val="NoSpacing"/>
      </w:pPr>
    </w:p>
    <w:p w14:paraId="1B7427E8" w14:textId="77777777" w:rsidR="00C625B0" w:rsidRDefault="00C625B0" w:rsidP="00722685">
      <w:pPr>
        <w:pStyle w:val="NoSpacing"/>
      </w:pPr>
    </w:p>
    <w:p w14:paraId="522BA54E" w14:textId="77777777" w:rsidR="00C625B0" w:rsidRDefault="00C625B0" w:rsidP="00722685">
      <w:pPr>
        <w:pStyle w:val="NoSpacing"/>
      </w:pPr>
    </w:p>
    <w:p w14:paraId="6F7190C0" w14:textId="77777777" w:rsidR="00C625B0" w:rsidRDefault="00C625B0" w:rsidP="00722685">
      <w:pPr>
        <w:pStyle w:val="NoSpacing"/>
      </w:pPr>
    </w:p>
    <w:p w14:paraId="72CB19C5" w14:textId="77777777" w:rsidR="000D23AF" w:rsidRDefault="000D23AF" w:rsidP="00722685">
      <w:pPr>
        <w:pStyle w:val="NoSpacing"/>
      </w:pPr>
    </w:p>
    <w:p w14:paraId="74A89CDD" w14:textId="77777777" w:rsidR="00C625B0" w:rsidRDefault="00C625B0" w:rsidP="00722685">
      <w:pPr>
        <w:pStyle w:val="NoSpacing"/>
      </w:pPr>
    </w:p>
    <w:p w14:paraId="0396C5B2" w14:textId="77777777" w:rsidR="00C625B0" w:rsidRDefault="00C625B0" w:rsidP="00C625B0">
      <w:pPr>
        <w:pStyle w:val="NoSpacing"/>
        <w:jc w:val="right"/>
      </w:pPr>
    </w:p>
    <w:p w14:paraId="4A2AF76F" w14:textId="77777777" w:rsidR="006A5B50" w:rsidRPr="00885FBB" w:rsidRDefault="006A5B50">
      <w:pPr>
        <w:rPr>
          <w:rFonts w:cs="Arial"/>
          <w:b/>
          <w:szCs w:val="24"/>
        </w:rPr>
      </w:pPr>
      <w:r w:rsidRPr="00885FBB">
        <w:rPr>
          <w:rFonts w:cs="Arial"/>
          <w:b/>
          <w:szCs w:val="24"/>
        </w:rPr>
        <w:br w:type="page"/>
      </w:r>
    </w:p>
    <w:sdt>
      <w:sdtPr>
        <w:rPr>
          <w:rFonts w:ascii="Arial" w:eastAsiaTheme="minorHAnsi" w:hAnsi="Arial" w:cs="Arial"/>
          <w:color w:val="auto"/>
          <w:sz w:val="24"/>
          <w:szCs w:val="24"/>
          <w:lang w:val="en-GB"/>
        </w:rPr>
        <w:id w:val="1745677943"/>
        <w:docPartObj>
          <w:docPartGallery w:val="Table of Contents"/>
          <w:docPartUnique/>
        </w:docPartObj>
      </w:sdtPr>
      <w:sdtEndPr>
        <w:rPr>
          <w:b/>
          <w:bCs/>
          <w:noProof/>
        </w:rPr>
      </w:sdtEndPr>
      <w:sdtContent>
        <w:p w14:paraId="5B1E6269" w14:textId="77777777" w:rsidR="00351BCA" w:rsidRPr="00885FBB" w:rsidRDefault="00351BCA">
          <w:pPr>
            <w:pStyle w:val="TOCHeading"/>
            <w:rPr>
              <w:rFonts w:ascii="Arial" w:hAnsi="Arial" w:cs="Arial"/>
              <w:sz w:val="24"/>
              <w:szCs w:val="24"/>
            </w:rPr>
          </w:pPr>
          <w:r w:rsidRPr="00885FBB">
            <w:rPr>
              <w:rFonts w:ascii="Arial" w:hAnsi="Arial" w:cs="Arial"/>
              <w:sz w:val="24"/>
              <w:szCs w:val="24"/>
            </w:rPr>
            <w:t>Contents</w:t>
          </w:r>
        </w:p>
        <w:p w14:paraId="79492365" w14:textId="3421464C" w:rsidR="00B502FB" w:rsidRDefault="00351BCA">
          <w:pPr>
            <w:pStyle w:val="TOC1"/>
            <w:tabs>
              <w:tab w:val="right" w:leader="dot" w:pos="9016"/>
            </w:tabs>
            <w:rPr>
              <w:rFonts w:asciiTheme="minorHAnsi" w:eastAsiaTheme="minorEastAsia" w:hAnsiTheme="minorHAnsi"/>
              <w:noProof/>
              <w:sz w:val="22"/>
              <w:lang w:eastAsia="en-GB"/>
            </w:rPr>
          </w:pPr>
          <w:r w:rsidRPr="00885FBB">
            <w:rPr>
              <w:rFonts w:cs="Arial"/>
              <w:szCs w:val="24"/>
            </w:rPr>
            <w:fldChar w:fldCharType="begin"/>
          </w:r>
          <w:r w:rsidRPr="00885FBB">
            <w:rPr>
              <w:rFonts w:cs="Arial"/>
              <w:szCs w:val="24"/>
            </w:rPr>
            <w:instrText xml:space="preserve"> TOC \o "1-3" \h \z \u </w:instrText>
          </w:r>
          <w:r w:rsidRPr="00885FBB">
            <w:rPr>
              <w:rFonts w:cs="Arial"/>
              <w:szCs w:val="24"/>
            </w:rPr>
            <w:fldChar w:fldCharType="separate"/>
          </w:r>
          <w:hyperlink w:anchor="_Toc117516861" w:history="1">
            <w:r w:rsidR="00B502FB" w:rsidRPr="00FC6986">
              <w:rPr>
                <w:rStyle w:val="Hyperlink"/>
                <w:rFonts w:cs="Arial"/>
                <w:noProof/>
              </w:rPr>
              <w:t>Summary</w:t>
            </w:r>
            <w:r w:rsidR="00B502FB">
              <w:rPr>
                <w:noProof/>
                <w:webHidden/>
              </w:rPr>
              <w:tab/>
            </w:r>
            <w:r w:rsidR="00B502FB">
              <w:rPr>
                <w:noProof/>
                <w:webHidden/>
              </w:rPr>
              <w:fldChar w:fldCharType="begin"/>
            </w:r>
            <w:r w:rsidR="00B502FB">
              <w:rPr>
                <w:noProof/>
                <w:webHidden/>
              </w:rPr>
              <w:instrText xml:space="preserve"> PAGEREF _Toc117516861 \h </w:instrText>
            </w:r>
            <w:r w:rsidR="00B502FB">
              <w:rPr>
                <w:noProof/>
                <w:webHidden/>
              </w:rPr>
            </w:r>
            <w:r w:rsidR="00B502FB">
              <w:rPr>
                <w:noProof/>
                <w:webHidden/>
              </w:rPr>
              <w:fldChar w:fldCharType="separate"/>
            </w:r>
            <w:r w:rsidR="005C4DFD">
              <w:rPr>
                <w:noProof/>
                <w:webHidden/>
              </w:rPr>
              <w:t>3</w:t>
            </w:r>
            <w:r w:rsidR="00B502FB">
              <w:rPr>
                <w:noProof/>
                <w:webHidden/>
              </w:rPr>
              <w:fldChar w:fldCharType="end"/>
            </w:r>
          </w:hyperlink>
        </w:p>
        <w:p w14:paraId="05DFC392" w14:textId="7D11EAB5" w:rsidR="00B502FB" w:rsidRDefault="00CD21FA">
          <w:pPr>
            <w:pStyle w:val="TOC1"/>
            <w:tabs>
              <w:tab w:val="right" w:leader="dot" w:pos="9016"/>
            </w:tabs>
            <w:rPr>
              <w:rFonts w:asciiTheme="minorHAnsi" w:eastAsiaTheme="minorEastAsia" w:hAnsiTheme="minorHAnsi"/>
              <w:noProof/>
              <w:sz w:val="22"/>
              <w:lang w:eastAsia="en-GB"/>
            </w:rPr>
          </w:pPr>
          <w:hyperlink w:anchor="_Toc117516862" w:history="1">
            <w:r w:rsidR="00B502FB" w:rsidRPr="00FC6986">
              <w:rPr>
                <w:rStyle w:val="Hyperlink"/>
                <w:rFonts w:cs="Arial"/>
                <w:noProof/>
              </w:rPr>
              <w:t>Policy Statement</w:t>
            </w:r>
            <w:r w:rsidR="00B502FB">
              <w:rPr>
                <w:noProof/>
                <w:webHidden/>
              </w:rPr>
              <w:tab/>
            </w:r>
            <w:r w:rsidR="00B502FB">
              <w:rPr>
                <w:noProof/>
                <w:webHidden/>
              </w:rPr>
              <w:fldChar w:fldCharType="begin"/>
            </w:r>
            <w:r w:rsidR="00B502FB">
              <w:rPr>
                <w:noProof/>
                <w:webHidden/>
              </w:rPr>
              <w:instrText xml:space="preserve"> PAGEREF _Toc117516862 \h </w:instrText>
            </w:r>
            <w:r w:rsidR="00B502FB">
              <w:rPr>
                <w:noProof/>
                <w:webHidden/>
              </w:rPr>
            </w:r>
            <w:r w:rsidR="00B502FB">
              <w:rPr>
                <w:noProof/>
                <w:webHidden/>
              </w:rPr>
              <w:fldChar w:fldCharType="separate"/>
            </w:r>
            <w:r w:rsidR="005C4DFD">
              <w:rPr>
                <w:noProof/>
                <w:webHidden/>
              </w:rPr>
              <w:t>3</w:t>
            </w:r>
            <w:r w:rsidR="00B502FB">
              <w:rPr>
                <w:noProof/>
                <w:webHidden/>
              </w:rPr>
              <w:fldChar w:fldCharType="end"/>
            </w:r>
          </w:hyperlink>
        </w:p>
        <w:p w14:paraId="745E5E79" w14:textId="7014C70B" w:rsidR="00B502FB" w:rsidRDefault="00CD21FA">
          <w:pPr>
            <w:pStyle w:val="TOC1"/>
            <w:tabs>
              <w:tab w:val="right" w:leader="dot" w:pos="9016"/>
            </w:tabs>
            <w:rPr>
              <w:rFonts w:asciiTheme="minorHAnsi" w:eastAsiaTheme="minorEastAsia" w:hAnsiTheme="minorHAnsi"/>
              <w:noProof/>
              <w:sz w:val="22"/>
              <w:lang w:eastAsia="en-GB"/>
            </w:rPr>
          </w:pPr>
          <w:hyperlink w:anchor="_Toc117516863" w:history="1">
            <w:r w:rsidR="00B502FB" w:rsidRPr="00FC6986">
              <w:rPr>
                <w:rStyle w:val="Hyperlink"/>
                <w:rFonts w:cs="Arial"/>
                <w:noProof/>
              </w:rPr>
              <w:t>Obligations under the Act</w:t>
            </w:r>
            <w:r w:rsidR="00B502FB">
              <w:rPr>
                <w:noProof/>
                <w:webHidden/>
              </w:rPr>
              <w:tab/>
            </w:r>
            <w:r w:rsidR="00B502FB">
              <w:rPr>
                <w:noProof/>
                <w:webHidden/>
              </w:rPr>
              <w:fldChar w:fldCharType="begin"/>
            </w:r>
            <w:r w:rsidR="00B502FB">
              <w:rPr>
                <w:noProof/>
                <w:webHidden/>
              </w:rPr>
              <w:instrText xml:space="preserve"> PAGEREF _Toc117516863 \h </w:instrText>
            </w:r>
            <w:r w:rsidR="00B502FB">
              <w:rPr>
                <w:noProof/>
                <w:webHidden/>
              </w:rPr>
            </w:r>
            <w:r w:rsidR="00B502FB">
              <w:rPr>
                <w:noProof/>
                <w:webHidden/>
              </w:rPr>
              <w:fldChar w:fldCharType="separate"/>
            </w:r>
            <w:r w:rsidR="005C4DFD">
              <w:rPr>
                <w:noProof/>
                <w:webHidden/>
              </w:rPr>
              <w:t>3</w:t>
            </w:r>
            <w:r w:rsidR="00B502FB">
              <w:rPr>
                <w:noProof/>
                <w:webHidden/>
              </w:rPr>
              <w:fldChar w:fldCharType="end"/>
            </w:r>
          </w:hyperlink>
        </w:p>
        <w:p w14:paraId="635B4F20" w14:textId="67ED953F" w:rsidR="00B502FB" w:rsidRDefault="00CD21FA">
          <w:pPr>
            <w:pStyle w:val="TOC2"/>
            <w:tabs>
              <w:tab w:val="right" w:leader="dot" w:pos="9016"/>
            </w:tabs>
            <w:rPr>
              <w:rFonts w:asciiTheme="minorHAnsi" w:eastAsiaTheme="minorEastAsia" w:hAnsiTheme="minorHAnsi"/>
              <w:noProof/>
              <w:sz w:val="22"/>
              <w:lang w:eastAsia="en-GB"/>
            </w:rPr>
          </w:pPr>
          <w:hyperlink w:anchor="_Toc117516864" w:history="1">
            <w:r w:rsidR="00B502FB" w:rsidRPr="00FC6986">
              <w:rPr>
                <w:rStyle w:val="Hyperlink"/>
                <w:rFonts w:cs="Arial"/>
                <w:noProof/>
              </w:rPr>
              <w:t>Right of access</w:t>
            </w:r>
            <w:r w:rsidR="00B502FB">
              <w:rPr>
                <w:noProof/>
                <w:webHidden/>
              </w:rPr>
              <w:tab/>
            </w:r>
            <w:r w:rsidR="00B502FB">
              <w:rPr>
                <w:noProof/>
                <w:webHidden/>
              </w:rPr>
              <w:fldChar w:fldCharType="begin"/>
            </w:r>
            <w:r w:rsidR="00B502FB">
              <w:rPr>
                <w:noProof/>
                <w:webHidden/>
              </w:rPr>
              <w:instrText xml:space="preserve"> PAGEREF _Toc117516864 \h </w:instrText>
            </w:r>
            <w:r w:rsidR="00B502FB">
              <w:rPr>
                <w:noProof/>
                <w:webHidden/>
              </w:rPr>
            </w:r>
            <w:r w:rsidR="00B502FB">
              <w:rPr>
                <w:noProof/>
                <w:webHidden/>
              </w:rPr>
              <w:fldChar w:fldCharType="separate"/>
            </w:r>
            <w:r w:rsidR="005C4DFD">
              <w:rPr>
                <w:noProof/>
                <w:webHidden/>
              </w:rPr>
              <w:t>3</w:t>
            </w:r>
            <w:r w:rsidR="00B502FB">
              <w:rPr>
                <w:noProof/>
                <w:webHidden/>
              </w:rPr>
              <w:fldChar w:fldCharType="end"/>
            </w:r>
          </w:hyperlink>
        </w:p>
        <w:p w14:paraId="40F7728A" w14:textId="70018B1F" w:rsidR="00B502FB" w:rsidRDefault="00CD21FA">
          <w:pPr>
            <w:pStyle w:val="TOC2"/>
            <w:tabs>
              <w:tab w:val="right" w:leader="dot" w:pos="9016"/>
            </w:tabs>
            <w:rPr>
              <w:rFonts w:asciiTheme="minorHAnsi" w:eastAsiaTheme="minorEastAsia" w:hAnsiTheme="minorHAnsi"/>
              <w:noProof/>
              <w:sz w:val="22"/>
              <w:lang w:eastAsia="en-GB"/>
            </w:rPr>
          </w:pPr>
          <w:hyperlink w:anchor="_Toc117516865" w:history="1">
            <w:r w:rsidR="00B502FB" w:rsidRPr="00FC6986">
              <w:rPr>
                <w:rStyle w:val="Hyperlink"/>
                <w:rFonts w:cs="Arial"/>
                <w:noProof/>
              </w:rPr>
              <w:t>Exemptions</w:t>
            </w:r>
            <w:r w:rsidR="00B502FB">
              <w:rPr>
                <w:noProof/>
                <w:webHidden/>
              </w:rPr>
              <w:tab/>
            </w:r>
            <w:r w:rsidR="00B502FB">
              <w:rPr>
                <w:noProof/>
                <w:webHidden/>
              </w:rPr>
              <w:fldChar w:fldCharType="begin"/>
            </w:r>
            <w:r w:rsidR="00B502FB">
              <w:rPr>
                <w:noProof/>
                <w:webHidden/>
              </w:rPr>
              <w:instrText xml:space="preserve"> PAGEREF _Toc117516865 \h </w:instrText>
            </w:r>
            <w:r w:rsidR="00B502FB">
              <w:rPr>
                <w:noProof/>
                <w:webHidden/>
              </w:rPr>
            </w:r>
            <w:r w:rsidR="00B502FB">
              <w:rPr>
                <w:noProof/>
                <w:webHidden/>
              </w:rPr>
              <w:fldChar w:fldCharType="separate"/>
            </w:r>
            <w:r w:rsidR="005C4DFD">
              <w:rPr>
                <w:noProof/>
                <w:webHidden/>
              </w:rPr>
              <w:t>3</w:t>
            </w:r>
            <w:r w:rsidR="00B502FB">
              <w:rPr>
                <w:noProof/>
                <w:webHidden/>
              </w:rPr>
              <w:fldChar w:fldCharType="end"/>
            </w:r>
          </w:hyperlink>
        </w:p>
        <w:p w14:paraId="6FF1F1E5" w14:textId="59C3906D" w:rsidR="00B502FB" w:rsidRDefault="00CD21FA">
          <w:pPr>
            <w:pStyle w:val="TOC2"/>
            <w:tabs>
              <w:tab w:val="right" w:leader="dot" w:pos="9016"/>
            </w:tabs>
            <w:rPr>
              <w:rFonts w:asciiTheme="minorHAnsi" w:eastAsiaTheme="minorEastAsia" w:hAnsiTheme="minorHAnsi"/>
              <w:noProof/>
              <w:sz w:val="22"/>
              <w:lang w:eastAsia="en-GB"/>
            </w:rPr>
          </w:pPr>
          <w:hyperlink w:anchor="_Toc117516866" w:history="1">
            <w:r w:rsidR="00B502FB" w:rsidRPr="00FC6986">
              <w:rPr>
                <w:rStyle w:val="Hyperlink"/>
                <w:rFonts w:cs="Arial"/>
                <w:noProof/>
              </w:rPr>
              <w:t>The ‘Public Interest’ Test</w:t>
            </w:r>
            <w:r w:rsidR="00B502FB">
              <w:rPr>
                <w:noProof/>
                <w:webHidden/>
              </w:rPr>
              <w:tab/>
            </w:r>
            <w:r w:rsidR="00B502FB">
              <w:rPr>
                <w:noProof/>
                <w:webHidden/>
              </w:rPr>
              <w:fldChar w:fldCharType="begin"/>
            </w:r>
            <w:r w:rsidR="00B502FB">
              <w:rPr>
                <w:noProof/>
                <w:webHidden/>
              </w:rPr>
              <w:instrText xml:space="preserve"> PAGEREF _Toc117516866 \h </w:instrText>
            </w:r>
            <w:r w:rsidR="00B502FB">
              <w:rPr>
                <w:noProof/>
                <w:webHidden/>
              </w:rPr>
            </w:r>
            <w:r w:rsidR="00B502FB">
              <w:rPr>
                <w:noProof/>
                <w:webHidden/>
              </w:rPr>
              <w:fldChar w:fldCharType="separate"/>
            </w:r>
            <w:r w:rsidR="005C4DFD">
              <w:rPr>
                <w:noProof/>
                <w:webHidden/>
              </w:rPr>
              <w:t>4</w:t>
            </w:r>
            <w:r w:rsidR="00B502FB">
              <w:rPr>
                <w:noProof/>
                <w:webHidden/>
              </w:rPr>
              <w:fldChar w:fldCharType="end"/>
            </w:r>
          </w:hyperlink>
        </w:p>
        <w:p w14:paraId="2FD9CF42" w14:textId="17344A5A" w:rsidR="00B502FB" w:rsidRDefault="00CD21FA">
          <w:pPr>
            <w:pStyle w:val="TOC2"/>
            <w:tabs>
              <w:tab w:val="right" w:leader="dot" w:pos="9016"/>
            </w:tabs>
            <w:rPr>
              <w:rFonts w:asciiTheme="minorHAnsi" w:eastAsiaTheme="minorEastAsia" w:hAnsiTheme="minorHAnsi"/>
              <w:noProof/>
              <w:sz w:val="22"/>
              <w:lang w:eastAsia="en-GB"/>
            </w:rPr>
          </w:pPr>
          <w:hyperlink w:anchor="_Toc117516867" w:history="1">
            <w:r w:rsidR="00B502FB" w:rsidRPr="00FC6986">
              <w:rPr>
                <w:rStyle w:val="Hyperlink"/>
                <w:rFonts w:cs="Arial"/>
                <w:noProof/>
              </w:rPr>
              <w:t>Charging</w:t>
            </w:r>
            <w:r w:rsidR="00B502FB">
              <w:rPr>
                <w:noProof/>
                <w:webHidden/>
              </w:rPr>
              <w:tab/>
            </w:r>
            <w:r w:rsidR="00B502FB">
              <w:rPr>
                <w:noProof/>
                <w:webHidden/>
              </w:rPr>
              <w:fldChar w:fldCharType="begin"/>
            </w:r>
            <w:r w:rsidR="00B502FB">
              <w:rPr>
                <w:noProof/>
                <w:webHidden/>
              </w:rPr>
              <w:instrText xml:space="preserve"> PAGEREF _Toc117516867 \h </w:instrText>
            </w:r>
            <w:r w:rsidR="00B502FB">
              <w:rPr>
                <w:noProof/>
                <w:webHidden/>
              </w:rPr>
            </w:r>
            <w:r w:rsidR="00B502FB">
              <w:rPr>
                <w:noProof/>
                <w:webHidden/>
              </w:rPr>
              <w:fldChar w:fldCharType="separate"/>
            </w:r>
            <w:r w:rsidR="005C4DFD">
              <w:rPr>
                <w:noProof/>
                <w:webHidden/>
              </w:rPr>
              <w:t>4</w:t>
            </w:r>
            <w:r w:rsidR="00B502FB">
              <w:rPr>
                <w:noProof/>
                <w:webHidden/>
              </w:rPr>
              <w:fldChar w:fldCharType="end"/>
            </w:r>
          </w:hyperlink>
        </w:p>
        <w:p w14:paraId="51F0F490" w14:textId="60894698" w:rsidR="00B502FB" w:rsidRDefault="00CD21FA">
          <w:pPr>
            <w:pStyle w:val="TOC2"/>
            <w:tabs>
              <w:tab w:val="right" w:leader="dot" w:pos="9016"/>
            </w:tabs>
            <w:rPr>
              <w:rFonts w:asciiTheme="minorHAnsi" w:eastAsiaTheme="minorEastAsia" w:hAnsiTheme="minorHAnsi"/>
              <w:noProof/>
              <w:sz w:val="22"/>
              <w:lang w:eastAsia="en-GB"/>
            </w:rPr>
          </w:pPr>
          <w:hyperlink w:anchor="_Toc117516868" w:history="1">
            <w:r w:rsidR="00B502FB" w:rsidRPr="00FC6986">
              <w:rPr>
                <w:rStyle w:val="Hyperlink"/>
                <w:rFonts w:cs="Arial"/>
                <w:noProof/>
              </w:rPr>
              <w:t>Publication Scheme</w:t>
            </w:r>
            <w:r w:rsidR="00B502FB">
              <w:rPr>
                <w:noProof/>
                <w:webHidden/>
              </w:rPr>
              <w:tab/>
            </w:r>
            <w:r w:rsidR="00B502FB">
              <w:rPr>
                <w:noProof/>
                <w:webHidden/>
              </w:rPr>
              <w:fldChar w:fldCharType="begin"/>
            </w:r>
            <w:r w:rsidR="00B502FB">
              <w:rPr>
                <w:noProof/>
                <w:webHidden/>
              </w:rPr>
              <w:instrText xml:space="preserve"> PAGEREF _Toc117516868 \h </w:instrText>
            </w:r>
            <w:r w:rsidR="00B502FB">
              <w:rPr>
                <w:noProof/>
                <w:webHidden/>
              </w:rPr>
            </w:r>
            <w:r w:rsidR="00B502FB">
              <w:rPr>
                <w:noProof/>
                <w:webHidden/>
              </w:rPr>
              <w:fldChar w:fldCharType="separate"/>
            </w:r>
            <w:r w:rsidR="005C4DFD">
              <w:rPr>
                <w:noProof/>
                <w:webHidden/>
              </w:rPr>
              <w:t>4</w:t>
            </w:r>
            <w:r w:rsidR="00B502FB">
              <w:rPr>
                <w:noProof/>
                <w:webHidden/>
              </w:rPr>
              <w:fldChar w:fldCharType="end"/>
            </w:r>
          </w:hyperlink>
        </w:p>
        <w:p w14:paraId="23E30D22" w14:textId="20289AF1" w:rsidR="00B502FB" w:rsidRDefault="00CD21FA">
          <w:pPr>
            <w:pStyle w:val="TOC2"/>
            <w:tabs>
              <w:tab w:val="right" w:leader="dot" w:pos="9016"/>
            </w:tabs>
            <w:rPr>
              <w:rFonts w:asciiTheme="minorHAnsi" w:eastAsiaTheme="minorEastAsia" w:hAnsiTheme="minorHAnsi"/>
              <w:noProof/>
              <w:sz w:val="22"/>
              <w:lang w:eastAsia="en-GB"/>
            </w:rPr>
          </w:pPr>
          <w:hyperlink w:anchor="_Toc117516869" w:history="1">
            <w:r w:rsidR="00B502FB" w:rsidRPr="00FC6986">
              <w:rPr>
                <w:rStyle w:val="Hyperlink"/>
                <w:rFonts w:cs="Arial"/>
                <w:noProof/>
              </w:rPr>
              <w:t>Implementing the FOIA at Edge Hill University</w:t>
            </w:r>
            <w:r w:rsidR="00B502FB">
              <w:rPr>
                <w:noProof/>
                <w:webHidden/>
              </w:rPr>
              <w:tab/>
            </w:r>
            <w:r w:rsidR="00B502FB">
              <w:rPr>
                <w:noProof/>
                <w:webHidden/>
              </w:rPr>
              <w:fldChar w:fldCharType="begin"/>
            </w:r>
            <w:r w:rsidR="00B502FB">
              <w:rPr>
                <w:noProof/>
                <w:webHidden/>
              </w:rPr>
              <w:instrText xml:space="preserve"> PAGEREF _Toc117516869 \h </w:instrText>
            </w:r>
            <w:r w:rsidR="00B502FB">
              <w:rPr>
                <w:noProof/>
                <w:webHidden/>
              </w:rPr>
            </w:r>
            <w:r w:rsidR="00B502FB">
              <w:rPr>
                <w:noProof/>
                <w:webHidden/>
              </w:rPr>
              <w:fldChar w:fldCharType="separate"/>
            </w:r>
            <w:r w:rsidR="005C4DFD">
              <w:rPr>
                <w:noProof/>
                <w:webHidden/>
              </w:rPr>
              <w:t>4</w:t>
            </w:r>
            <w:r w:rsidR="00B502FB">
              <w:rPr>
                <w:noProof/>
                <w:webHidden/>
              </w:rPr>
              <w:fldChar w:fldCharType="end"/>
            </w:r>
          </w:hyperlink>
        </w:p>
        <w:p w14:paraId="587B9C81" w14:textId="5C767D4A" w:rsidR="00B502FB" w:rsidRDefault="00CD21FA">
          <w:pPr>
            <w:pStyle w:val="TOC2"/>
            <w:tabs>
              <w:tab w:val="right" w:leader="dot" w:pos="9016"/>
            </w:tabs>
            <w:rPr>
              <w:rFonts w:asciiTheme="minorHAnsi" w:eastAsiaTheme="minorEastAsia" w:hAnsiTheme="minorHAnsi"/>
              <w:noProof/>
              <w:sz w:val="22"/>
              <w:lang w:eastAsia="en-GB"/>
            </w:rPr>
          </w:pPr>
          <w:hyperlink w:anchor="_Toc117516870" w:history="1">
            <w:r w:rsidR="00B502FB" w:rsidRPr="00FC6986">
              <w:rPr>
                <w:rStyle w:val="Hyperlink"/>
                <w:rFonts w:cs="Arial"/>
                <w:noProof/>
              </w:rPr>
              <w:t>Communication</w:t>
            </w:r>
            <w:r w:rsidR="00B502FB">
              <w:rPr>
                <w:noProof/>
                <w:webHidden/>
              </w:rPr>
              <w:tab/>
            </w:r>
            <w:r w:rsidR="00B502FB">
              <w:rPr>
                <w:noProof/>
                <w:webHidden/>
              </w:rPr>
              <w:fldChar w:fldCharType="begin"/>
            </w:r>
            <w:r w:rsidR="00B502FB">
              <w:rPr>
                <w:noProof/>
                <w:webHidden/>
              </w:rPr>
              <w:instrText xml:space="preserve"> PAGEREF _Toc117516870 \h </w:instrText>
            </w:r>
            <w:r w:rsidR="00B502FB">
              <w:rPr>
                <w:noProof/>
                <w:webHidden/>
              </w:rPr>
            </w:r>
            <w:r w:rsidR="00B502FB">
              <w:rPr>
                <w:noProof/>
                <w:webHidden/>
              </w:rPr>
              <w:fldChar w:fldCharType="separate"/>
            </w:r>
            <w:r w:rsidR="005C4DFD">
              <w:rPr>
                <w:noProof/>
                <w:webHidden/>
              </w:rPr>
              <w:t>5</w:t>
            </w:r>
            <w:r w:rsidR="00B502FB">
              <w:rPr>
                <w:noProof/>
                <w:webHidden/>
              </w:rPr>
              <w:fldChar w:fldCharType="end"/>
            </w:r>
          </w:hyperlink>
        </w:p>
        <w:p w14:paraId="192FE1D3" w14:textId="5775783F" w:rsidR="00B502FB" w:rsidRDefault="00CD21FA">
          <w:pPr>
            <w:pStyle w:val="TOC2"/>
            <w:tabs>
              <w:tab w:val="right" w:leader="dot" w:pos="9016"/>
            </w:tabs>
            <w:rPr>
              <w:rFonts w:asciiTheme="minorHAnsi" w:eastAsiaTheme="minorEastAsia" w:hAnsiTheme="minorHAnsi"/>
              <w:noProof/>
              <w:sz w:val="22"/>
              <w:lang w:eastAsia="en-GB"/>
            </w:rPr>
          </w:pPr>
          <w:hyperlink w:anchor="_Toc117516871" w:history="1">
            <w:r w:rsidR="00B502FB" w:rsidRPr="00FC6986">
              <w:rPr>
                <w:rStyle w:val="Hyperlink"/>
                <w:rFonts w:cs="Arial"/>
                <w:noProof/>
              </w:rPr>
              <w:t>Enforcement</w:t>
            </w:r>
            <w:r w:rsidR="00B502FB">
              <w:rPr>
                <w:noProof/>
                <w:webHidden/>
              </w:rPr>
              <w:tab/>
            </w:r>
            <w:r w:rsidR="00B502FB">
              <w:rPr>
                <w:noProof/>
                <w:webHidden/>
              </w:rPr>
              <w:fldChar w:fldCharType="begin"/>
            </w:r>
            <w:r w:rsidR="00B502FB">
              <w:rPr>
                <w:noProof/>
                <w:webHidden/>
              </w:rPr>
              <w:instrText xml:space="preserve"> PAGEREF _Toc117516871 \h </w:instrText>
            </w:r>
            <w:r w:rsidR="00B502FB">
              <w:rPr>
                <w:noProof/>
                <w:webHidden/>
              </w:rPr>
            </w:r>
            <w:r w:rsidR="00B502FB">
              <w:rPr>
                <w:noProof/>
                <w:webHidden/>
              </w:rPr>
              <w:fldChar w:fldCharType="separate"/>
            </w:r>
            <w:r w:rsidR="005C4DFD">
              <w:rPr>
                <w:noProof/>
                <w:webHidden/>
              </w:rPr>
              <w:t>5</w:t>
            </w:r>
            <w:r w:rsidR="00B502FB">
              <w:rPr>
                <w:noProof/>
                <w:webHidden/>
              </w:rPr>
              <w:fldChar w:fldCharType="end"/>
            </w:r>
          </w:hyperlink>
        </w:p>
        <w:p w14:paraId="5CF710C6" w14:textId="31CE002E" w:rsidR="00B502FB" w:rsidRDefault="00CD21FA">
          <w:pPr>
            <w:pStyle w:val="TOC2"/>
            <w:tabs>
              <w:tab w:val="right" w:leader="dot" w:pos="9016"/>
            </w:tabs>
            <w:rPr>
              <w:rFonts w:asciiTheme="minorHAnsi" w:eastAsiaTheme="minorEastAsia" w:hAnsiTheme="minorHAnsi"/>
              <w:noProof/>
              <w:sz w:val="22"/>
              <w:lang w:eastAsia="en-GB"/>
            </w:rPr>
          </w:pPr>
          <w:hyperlink w:anchor="_Toc117516872" w:history="1">
            <w:r w:rsidR="00B502FB" w:rsidRPr="00FC6986">
              <w:rPr>
                <w:rStyle w:val="Hyperlink"/>
                <w:rFonts w:cs="Arial"/>
                <w:noProof/>
              </w:rPr>
              <w:t>Complaints</w:t>
            </w:r>
            <w:r w:rsidR="00B502FB">
              <w:rPr>
                <w:noProof/>
                <w:webHidden/>
              </w:rPr>
              <w:tab/>
            </w:r>
            <w:r w:rsidR="00B502FB">
              <w:rPr>
                <w:noProof/>
                <w:webHidden/>
              </w:rPr>
              <w:fldChar w:fldCharType="begin"/>
            </w:r>
            <w:r w:rsidR="00B502FB">
              <w:rPr>
                <w:noProof/>
                <w:webHidden/>
              </w:rPr>
              <w:instrText xml:space="preserve"> PAGEREF _Toc117516872 \h </w:instrText>
            </w:r>
            <w:r w:rsidR="00B502FB">
              <w:rPr>
                <w:noProof/>
                <w:webHidden/>
              </w:rPr>
            </w:r>
            <w:r w:rsidR="00B502FB">
              <w:rPr>
                <w:noProof/>
                <w:webHidden/>
              </w:rPr>
              <w:fldChar w:fldCharType="separate"/>
            </w:r>
            <w:r w:rsidR="005C4DFD">
              <w:rPr>
                <w:noProof/>
                <w:webHidden/>
              </w:rPr>
              <w:t>5</w:t>
            </w:r>
            <w:r w:rsidR="00B502FB">
              <w:rPr>
                <w:noProof/>
                <w:webHidden/>
              </w:rPr>
              <w:fldChar w:fldCharType="end"/>
            </w:r>
          </w:hyperlink>
        </w:p>
        <w:p w14:paraId="0D4B73D2" w14:textId="0BBF4CC2" w:rsidR="00B502FB" w:rsidRDefault="00CD21FA">
          <w:pPr>
            <w:pStyle w:val="TOC1"/>
            <w:tabs>
              <w:tab w:val="right" w:leader="dot" w:pos="9016"/>
            </w:tabs>
            <w:rPr>
              <w:rFonts w:asciiTheme="minorHAnsi" w:eastAsiaTheme="minorEastAsia" w:hAnsiTheme="minorHAnsi"/>
              <w:noProof/>
              <w:sz w:val="22"/>
              <w:lang w:eastAsia="en-GB"/>
            </w:rPr>
          </w:pPr>
          <w:hyperlink w:anchor="_Toc117516873" w:history="1">
            <w:r w:rsidR="00B502FB" w:rsidRPr="00FC6986">
              <w:rPr>
                <w:rStyle w:val="Hyperlink"/>
                <w:noProof/>
              </w:rPr>
              <w:t>Annexes</w:t>
            </w:r>
            <w:r w:rsidR="00B502FB">
              <w:rPr>
                <w:noProof/>
                <w:webHidden/>
              </w:rPr>
              <w:tab/>
            </w:r>
            <w:r w:rsidR="00B502FB">
              <w:rPr>
                <w:noProof/>
                <w:webHidden/>
              </w:rPr>
              <w:fldChar w:fldCharType="begin"/>
            </w:r>
            <w:r w:rsidR="00B502FB">
              <w:rPr>
                <w:noProof/>
                <w:webHidden/>
              </w:rPr>
              <w:instrText xml:space="preserve"> PAGEREF _Toc117516873 \h </w:instrText>
            </w:r>
            <w:r w:rsidR="00B502FB">
              <w:rPr>
                <w:noProof/>
                <w:webHidden/>
              </w:rPr>
            </w:r>
            <w:r w:rsidR="00B502FB">
              <w:rPr>
                <w:noProof/>
                <w:webHidden/>
              </w:rPr>
              <w:fldChar w:fldCharType="separate"/>
            </w:r>
            <w:r w:rsidR="005C4DFD">
              <w:rPr>
                <w:noProof/>
                <w:webHidden/>
              </w:rPr>
              <w:t>6</w:t>
            </w:r>
            <w:r w:rsidR="00B502FB">
              <w:rPr>
                <w:noProof/>
                <w:webHidden/>
              </w:rPr>
              <w:fldChar w:fldCharType="end"/>
            </w:r>
          </w:hyperlink>
        </w:p>
        <w:p w14:paraId="22A6E461" w14:textId="55497B0B" w:rsidR="00B502FB" w:rsidRDefault="00CD21FA">
          <w:pPr>
            <w:pStyle w:val="TOC2"/>
            <w:tabs>
              <w:tab w:val="right" w:leader="dot" w:pos="9016"/>
            </w:tabs>
            <w:rPr>
              <w:rFonts w:asciiTheme="minorHAnsi" w:eastAsiaTheme="minorEastAsia" w:hAnsiTheme="minorHAnsi"/>
              <w:noProof/>
              <w:sz w:val="22"/>
              <w:lang w:eastAsia="en-GB"/>
            </w:rPr>
          </w:pPr>
          <w:hyperlink w:anchor="_Toc117516874" w:history="1">
            <w:r w:rsidR="00B502FB" w:rsidRPr="00FC6986">
              <w:rPr>
                <w:rStyle w:val="Hyperlink"/>
                <w:noProof/>
              </w:rPr>
              <w:t>Exemptions</w:t>
            </w:r>
            <w:r w:rsidR="00B502FB">
              <w:rPr>
                <w:noProof/>
                <w:webHidden/>
              </w:rPr>
              <w:tab/>
            </w:r>
            <w:r w:rsidR="00B502FB">
              <w:rPr>
                <w:noProof/>
                <w:webHidden/>
              </w:rPr>
              <w:fldChar w:fldCharType="begin"/>
            </w:r>
            <w:r w:rsidR="00B502FB">
              <w:rPr>
                <w:noProof/>
                <w:webHidden/>
              </w:rPr>
              <w:instrText xml:space="preserve"> PAGEREF _Toc117516874 \h </w:instrText>
            </w:r>
            <w:r w:rsidR="00B502FB">
              <w:rPr>
                <w:noProof/>
                <w:webHidden/>
              </w:rPr>
            </w:r>
            <w:r w:rsidR="00B502FB">
              <w:rPr>
                <w:noProof/>
                <w:webHidden/>
              </w:rPr>
              <w:fldChar w:fldCharType="separate"/>
            </w:r>
            <w:r w:rsidR="005C4DFD">
              <w:rPr>
                <w:noProof/>
                <w:webHidden/>
              </w:rPr>
              <w:t>6</w:t>
            </w:r>
            <w:r w:rsidR="00B502FB">
              <w:rPr>
                <w:noProof/>
                <w:webHidden/>
              </w:rPr>
              <w:fldChar w:fldCharType="end"/>
            </w:r>
          </w:hyperlink>
        </w:p>
        <w:p w14:paraId="779433B4" w14:textId="14581C0F" w:rsidR="00B502FB" w:rsidRDefault="00CD21FA">
          <w:pPr>
            <w:pStyle w:val="TOC1"/>
            <w:tabs>
              <w:tab w:val="right" w:leader="dot" w:pos="9016"/>
            </w:tabs>
            <w:rPr>
              <w:rFonts w:asciiTheme="minorHAnsi" w:eastAsiaTheme="minorEastAsia" w:hAnsiTheme="minorHAnsi"/>
              <w:noProof/>
              <w:sz w:val="22"/>
              <w:lang w:eastAsia="en-GB"/>
            </w:rPr>
          </w:pPr>
          <w:hyperlink w:anchor="_Toc117516875" w:history="1">
            <w:r w:rsidR="00B502FB" w:rsidRPr="00FC6986">
              <w:rPr>
                <w:rStyle w:val="Hyperlink"/>
                <w:noProof/>
              </w:rPr>
              <w:t>Change History Record</w:t>
            </w:r>
            <w:r w:rsidR="00B502FB">
              <w:rPr>
                <w:noProof/>
                <w:webHidden/>
              </w:rPr>
              <w:tab/>
            </w:r>
            <w:r w:rsidR="00B502FB">
              <w:rPr>
                <w:noProof/>
                <w:webHidden/>
              </w:rPr>
              <w:fldChar w:fldCharType="begin"/>
            </w:r>
            <w:r w:rsidR="00B502FB">
              <w:rPr>
                <w:noProof/>
                <w:webHidden/>
              </w:rPr>
              <w:instrText xml:space="preserve"> PAGEREF _Toc117516875 \h </w:instrText>
            </w:r>
            <w:r w:rsidR="00B502FB">
              <w:rPr>
                <w:noProof/>
                <w:webHidden/>
              </w:rPr>
            </w:r>
            <w:r w:rsidR="00B502FB">
              <w:rPr>
                <w:noProof/>
                <w:webHidden/>
              </w:rPr>
              <w:fldChar w:fldCharType="separate"/>
            </w:r>
            <w:r w:rsidR="005C4DFD">
              <w:rPr>
                <w:noProof/>
                <w:webHidden/>
              </w:rPr>
              <w:t>8</w:t>
            </w:r>
            <w:r w:rsidR="00B502FB">
              <w:rPr>
                <w:noProof/>
                <w:webHidden/>
              </w:rPr>
              <w:fldChar w:fldCharType="end"/>
            </w:r>
          </w:hyperlink>
        </w:p>
        <w:p w14:paraId="0B9071C3" w14:textId="14DF53AE" w:rsidR="00B502FB" w:rsidRDefault="00CD21FA">
          <w:pPr>
            <w:pStyle w:val="TOC1"/>
            <w:tabs>
              <w:tab w:val="right" w:leader="dot" w:pos="9016"/>
            </w:tabs>
            <w:rPr>
              <w:rFonts w:asciiTheme="minorHAnsi" w:eastAsiaTheme="minorEastAsia" w:hAnsiTheme="minorHAnsi"/>
              <w:noProof/>
              <w:sz w:val="22"/>
              <w:lang w:eastAsia="en-GB"/>
            </w:rPr>
          </w:pPr>
          <w:hyperlink w:anchor="_Toc117516876" w:history="1">
            <w:r w:rsidR="00B502FB" w:rsidRPr="00FC6986">
              <w:rPr>
                <w:rStyle w:val="Hyperlink"/>
                <w:noProof/>
              </w:rPr>
              <w:t>Endmatter</w:t>
            </w:r>
            <w:r w:rsidR="00B502FB">
              <w:rPr>
                <w:noProof/>
                <w:webHidden/>
              </w:rPr>
              <w:tab/>
            </w:r>
            <w:r w:rsidR="00B502FB">
              <w:rPr>
                <w:noProof/>
                <w:webHidden/>
              </w:rPr>
              <w:fldChar w:fldCharType="begin"/>
            </w:r>
            <w:r w:rsidR="00B502FB">
              <w:rPr>
                <w:noProof/>
                <w:webHidden/>
              </w:rPr>
              <w:instrText xml:space="preserve"> PAGEREF _Toc117516876 \h </w:instrText>
            </w:r>
            <w:r w:rsidR="00B502FB">
              <w:rPr>
                <w:noProof/>
                <w:webHidden/>
              </w:rPr>
            </w:r>
            <w:r w:rsidR="00B502FB">
              <w:rPr>
                <w:noProof/>
                <w:webHidden/>
              </w:rPr>
              <w:fldChar w:fldCharType="separate"/>
            </w:r>
            <w:r w:rsidR="005C4DFD">
              <w:rPr>
                <w:noProof/>
                <w:webHidden/>
              </w:rPr>
              <w:t>8</w:t>
            </w:r>
            <w:r w:rsidR="00B502FB">
              <w:rPr>
                <w:noProof/>
                <w:webHidden/>
              </w:rPr>
              <w:fldChar w:fldCharType="end"/>
            </w:r>
          </w:hyperlink>
        </w:p>
        <w:p w14:paraId="41F2B7EB" w14:textId="3F68F293" w:rsidR="00351BCA" w:rsidRPr="00885FBB" w:rsidRDefault="00351BCA">
          <w:pPr>
            <w:rPr>
              <w:rFonts w:cs="Arial"/>
              <w:szCs w:val="24"/>
            </w:rPr>
          </w:pPr>
          <w:r w:rsidRPr="00885FBB">
            <w:rPr>
              <w:rFonts w:cs="Arial"/>
              <w:b/>
              <w:bCs/>
              <w:noProof/>
              <w:szCs w:val="24"/>
            </w:rPr>
            <w:fldChar w:fldCharType="end"/>
          </w:r>
        </w:p>
      </w:sdtContent>
    </w:sdt>
    <w:p w14:paraId="17869A86" w14:textId="77777777" w:rsidR="00C625B0" w:rsidRPr="00885FBB" w:rsidRDefault="00C625B0">
      <w:pPr>
        <w:rPr>
          <w:rFonts w:cs="Arial"/>
          <w:szCs w:val="24"/>
        </w:rPr>
      </w:pPr>
      <w:r w:rsidRPr="00885FBB">
        <w:rPr>
          <w:rFonts w:cs="Arial"/>
          <w:szCs w:val="24"/>
        </w:rPr>
        <w:br w:type="page"/>
      </w:r>
    </w:p>
    <w:p w14:paraId="21E2CC97" w14:textId="20E06F30" w:rsidR="000D23AF" w:rsidRPr="00885FBB" w:rsidRDefault="000D23AF" w:rsidP="00D84C7A">
      <w:pPr>
        <w:pStyle w:val="Heading1"/>
        <w:rPr>
          <w:rFonts w:ascii="Arial" w:hAnsi="Arial" w:cs="Arial"/>
          <w:sz w:val="24"/>
          <w:szCs w:val="24"/>
        </w:rPr>
      </w:pPr>
      <w:bookmarkStart w:id="0" w:name="_Toc117516861"/>
      <w:r w:rsidRPr="00885FBB">
        <w:rPr>
          <w:rFonts w:ascii="Arial" w:hAnsi="Arial" w:cs="Arial"/>
          <w:sz w:val="24"/>
          <w:szCs w:val="24"/>
        </w:rPr>
        <w:lastRenderedPageBreak/>
        <w:t>Summary</w:t>
      </w:r>
      <w:bookmarkEnd w:id="0"/>
      <w:r w:rsidRPr="00885FBB">
        <w:rPr>
          <w:rFonts w:ascii="Arial" w:hAnsi="Arial" w:cs="Arial"/>
          <w:sz w:val="24"/>
          <w:szCs w:val="24"/>
        </w:rPr>
        <w:t xml:space="preserve"> </w:t>
      </w:r>
    </w:p>
    <w:p w14:paraId="5D164639" w14:textId="77777777" w:rsidR="00885FBB" w:rsidRPr="00885FBB" w:rsidRDefault="00885FBB" w:rsidP="00885FBB">
      <w:pPr>
        <w:rPr>
          <w:rFonts w:cs="Arial"/>
          <w:szCs w:val="24"/>
        </w:rPr>
      </w:pPr>
    </w:p>
    <w:p w14:paraId="195E117F" w14:textId="77777777" w:rsidR="00885FBB" w:rsidRPr="00885FBB" w:rsidRDefault="00885FBB" w:rsidP="00885FBB">
      <w:pPr>
        <w:jc w:val="both"/>
        <w:rPr>
          <w:rFonts w:cs="Arial"/>
          <w:szCs w:val="24"/>
        </w:rPr>
      </w:pPr>
      <w:proofErr w:type="gramStart"/>
      <w:r w:rsidRPr="00885FBB">
        <w:rPr>
          <w:rFonts w:cs="Arial"/>
          <w:szCs w:val="24"/>
        </w:rPr>
        <w:t>The Freedom of Information Act (the Act),</w:t>
      </w:r>
      <w:proofErr w:type="gramEnd"/>
      <w:r w:rsidRPr="00885FBB">
        <w:rPr>
          <w:rFonts w:cs="Arial"/>
          <w:szCs w:val="24"/>
        </w:rPr>
        <w:t xml:space="preserve"> was passed on 30th</w:t>
      </w:r>
      <w:r w:rsidRPr="00885FBB">
        <w:rPr>
          <w:rFonts w:cs="Arial"/>
          <w:szCs w:val="24"/>
          <w:vertAlign w:val="superscript"/>
        </w:rPr>
        <w:t xml:space="preserve"> </w:t>
      </w:r>
      <w:r w:rsidRPr="00885FBB">
        <w:rPr>
          <w:rFonts w:cs="Arial"/>
          <w:szCs w:val="24"/>
        </w:rPr>
        <w:t>November 2000 and came into force on 1</w:t>
      </w:r>
      <w:r w:rsidRPr="00885FBB">
        <w:rPr>
          <w:rFonts w:cs="Arial"/>
          <w:szCs w:val="24"/>
          <w:vertAlign w:val="superscript"/>
        </w:rPr>
        <w:t>st</w:t>
      </w:r>
      <w:r w:rsidRPr="00885FBB">
        <w:rPr>
          <w:rFonts w:cs="Arial"/>
          <w:szCs w:val="24"/>
        </w:rPr>
        <w:t xml:space="preserve"> January 2005. The Act provides the public, general right to access all types of recorded information held by public authorities. The Act is supported by a number of exemptions which provides the University the right to withhold certain information, however in all instances the University will ensure the Public Interest be considered prior to refusal</w:t>
      </w:r>
    </w:p>
    <w:p w14:paraId="77C9FF61" w14:textId="25F475CE" w:rsidR="00D84C7A" w:rsidRPr="00885FBB" w:rsidRDefault="00885FBB" w:rsidP="00A73C4D">
      <w:pPr>
        <w:pStyle w:val="Heading1"/>
        <w:rPr>
          <w:rFonts w:ascii="Arial" w:hAnsi="Arial" w:cs="Arial"/>
          <w:sz w:val="24"/>
          <w:szCs w:val="24"/>
        </w:rPr>
      </w:pPr>
      <w:bookmarkStart w:id="1" w:name="_Toc117516862"/>
      <w:r w:rsidRPr="00885FBB">
        <w:rPr>
          <w:rFonts w:ascii="Arial" w:hAnsi="Arial" w:cs="Arial"/>
          <w:sz w:val="24"/>
          <w:szCs w:val="24"/>
        </w:rPr>
        <w:t>Policy Statement</w:t>
      </w:r>
      <w:bookmarkEnd w:id="1"/>
    </w:p>
    <w:p w14:paraId="2E583541" w14:textId="77777777" w:rsidR="00885FBB" w:rsidRPr="00885FBB" w:rsidRDefault="00885FBB" w:rsidP="00885FBB">
      <w:pPr>
        <w:rPr>
          <w:rFonts w:cs="Arial"/>
          <w:szCs w:val="24"/>
        </w:rPr>
      </w:pPr>
    </w:p>
    <w:p w14:paraId="3445C4F7" w14:textId="77777777" w:rsidR="00885FBB" w:rsidRPr="00885FBB" w:rsidRDefault="00885FBB" w:rsidP="00885FBB">
      <w:pPr>
        <w:pStyle w:val="NoSpacing"/>
        <w:jc w:val="both"/>
        <w:rPr>
          <w:rFonts w:cs="Arial"/>
          <w:szCs w:val="24"/>
        </w:rPr>
      </w:pPr>
      <w:r w:rsidRPr="00885FBB">
        <w:rPr>
          <w:rFonts w:cs="Arial"/>
          <w:szCs w:val="24"/>
        </w:rPr>
        <w:t>Edge Hill University (EHU) fully supports the underlying principle of the Act – to provide a right of access to information held by public authorities – and is fully committed to meeting its obligations under the legislation with full transparency.</w:t>
      </w:r>
    </w:p>
    <w:p w14:paraId="73A216E3" w14:textId="77777777" w:rsidR="00885FBB" w:rsidRPr="00885FBB" w:rsidRDefault="00885FBB" w:rsidP="00885FBB">
      <w:pPr>
        <w:pStyle w:val="NoSpacing"/>
        <w:rPr>
          <w:rFonts w:cs="Arial"/>
          <w:szCs w:val="24"/>
        </w:rPr>
      </w:pPr>
    </w:p>
    <w:p w14:paraId="2C54F688" w14:textId="77777777" w:rsidR="00885FBB" w:rsidRPr="00885FBB" w:rsidRDefault="00885FBB" w:rsidP="00885FBB">
      <w:pPr>
        <w:pStyle w:val="NoSpacing"/>
        <w:jc w:val="both"/>
        <w:rPr>
          <w:rFonts w:cs="Arial"/>
          <w:szCs w:val="24"/>
        </w:rPr>
      </w:pPr>
      <w:r w:rsidRPr="00885FBB">
        <w:rPr>
          <w:rFonts w:cs="Arial"/>
          <w:szCs w:val="24"/>
        </w:rPr>
        <w:t>To a practicable extent, EHU will endeavour to make information considered in the interest to the boarded public available through our Publication Scheme.</w:t>
      </w:r>
    </w:p>
    <w:p w14:paraId="528280D1" w14:textId="77777777" w:rsidR="00885FBB" w:rsidRPr="00885FBB" w:rsidRDefault="00885FBB" w:rsidP="00885FBB">
      <w:pPr>
        <w:pStyle w:val="NoSpacing"/>
        <w:rPr>
          <w:rFonts w:cs="Arial"/>
          <w:szCs w:val="24"/>
        </w:rPr>
      </w:pPr>
    </w:p>
    <w:p w14:paraId="7394C1B7" w14:textId="77777777" w:rsidR="00885FBB" w:rsidRPr="00885FBB" w:rsidRDefault="00885FBB" w:rsidP="00885FBB">
      <w:pPr>
        <w:pStyle w:val="NoSpacing"/>
        <w:jc w:val="both"/>
        <w:rPr>
          <w:rFonts w:cs="Arial"/>
          <w:szCs w:val="24"/>
        </w:rPr>
      </w:pPr>
      <w:r w:rsidRPr="00885FBB">
        <w:rPr>
          <w:rFonts w:cs="Arial"/>
          <w:szCs w:val="24"/>
        </w:rPr>
        <w:t>Where a request is received for access to information that is not included in the publication scheme, the requests will be processed and responded to ‘promptly’ and in accordance with the requirements of the legislation.</w:t>
      </w:r>
    </w:p>
    <w:p w14:paraId="07110DA9" w14:textId="77777777" w:rsidR="00885FBB" w:rsidRPr="00885FBB" w:rsidRDefault="00885FBB" w:rsidP="00885FBB">
      <w:pPr>
        <w:rPr>
          <w:rFonts w:cs="Arial"/>
          <w:szCs w:val="24"/>
        </w:rPr>
      </w:pPr>
    </w:p>
    <w:p w14:paraId="7AE35646" w14:textId="158E98B8" w:rsidR="00B86B25" w:rsidRPr="00885FBB" w:rsidRDefault="00885FBB" w:rsidP="00D84C7A">
      <w:pPr>
        <w:pStyle w:val="Heading1"/>
        <w:rPr>
          <w:rFonts w:ascii="Arial" w:hAnsi="Arial" w:cs="Arial"/>
          <w:sz w:val="24"/>
          <w:szCs w:val="24"/>
        </w:rPr>
      </w:pPr>
      <w:bookmarkStart w:id="2" w:name="_Toc117516863"/>
      <w:r w:rsidRPr="00885FBB">
        <w:rPr>
          <w:rFonts w:ascii="Arial" w:hAnsi="Arial" w:cs="Arial"/>
          <w:sz w:val="24"/>
          <w:szCs w:val="24"/>
        </w:rPr>
        <w:t>Obligations under the Act</w:t>
      </w:r>
      <w:bookmarkEnd w:id="2"/>
    </w:p>
    <w:p w14:paraId="6F3AA0A5" w14:textId="77777777" w:rsidR="00885FBB" w:rsidRPr="00885FBB" w:rsidRDefault="00885FBB" w:rsidP="00885FBB">
      <w:pPr>
        <w:pStyle w:val="Heading2"/>
        <w:rPr>
          <w:rFonts w:ascii="Arial" w:hAnsi="Arial" w:cs="Arial"/>
          <w:sz w:val="24"/>
          <w:szCs w:val="24"/>
        </w:rPr>
      </w:pPr>
    </w:p>
    <w:p w14:paraId="47E0579A" w14:textId="25C770AF" w:rsidR="00885FBB" w:rsidRPr="00885FBB" w:rsidRDefault="00885FBB" w:rsidP="00885FBB">
      <w:pPr>
        <w:pStyle w:val="Heading2"/>
        <w:rPr>
          <w:rFonts w:ascii="Arial" w:hAnsi="Arial" w:cs="Arial"/>
          <w:sz w:val="24"/>
          <w:szCs w:val="24"/>
        </w:rPr>
      </w:pPr>
      <w:bookmarkStart w:id="3" w:name="_Toc117516864"/>
      <w:r w:rsidRPr="00885FBB">
        <w:rPr>
          <w:rFonts w:ascii="Arial" w:hAnsi="Arial" w:cs="Arial"/>
          <w:sz w:val="24"/>
          <w:szCs w:val="24"/>
        </w:rPr>
        <w:t>Right of access</w:t>
      </w:r>
      <w:bookmarkEnd w:id="3"/>
    </w:p>
    <w:p w14:paraId="048D91DB" w14:textId="77777777" w:rsidR="00885FBB" w:rsidRPr="00885FBB" w:rsidRDefault="00885FBB" w:rsidP="00885FBB">
      <w:pPr>
        <w:pStyle w:val="NoSpacing"/>
        <w:rPr>
          <w:rFonts w:cs="Arial"/>
          <w:b/>
          <w:szCs w:val="24"/>
        </w:rPr>
      </w:pPr>
    </w:p>
    <w:p w14:paraId="4621290B" w14:textId="77777777" w:rsidR="00885FBB" w:rsidRPr="00885FBB" w:rsidRDefault="00885FBB" w:rsidP="00885FBB">
      <w:pPr>
        <w:pStyle w:val="NoSpacing"/>
        <w:rPr>
          <w:rFonts w:cs="Arial"/>
          <w:szCs w:val="24"/>
        </w:rPr>
      </w:pPr>
      <w:r w:rsidRPr="00885FBB">
        <w:rPr>
          <w:rFonts w:cs="Arial"/>
          <w:szCs w:val="24"/>
        </w:rPr>
        <w:t>The Act places a number of obligations on the University, subject to any exemptions, as follows:</w:t>
      </w:r>
    </w:p>
    <w:p w14:paraId="01306477" w14:textId="77777777" w:rsidR="00885FBB" w:rsidRPr="00885FBB" w:rsidRDefault="00885FBB" w:rsidP="00885FBB">
      <w:pPr>
        <w:pStyle w:val="NoSpacing"/>
        <w:rPr>
          <w:rFonts w:cs="Arial"/>
          <w:szCs w:val="24"/>
        </w:rPr>
      </w:pPr>
    </w:p>
    <w:p w14:paraId="388AD810" w14:textId="77777777" w:rsidR="00885FBB" w:rsidRPr="00885FBB" w:rsidRDefault="00885FBB" w:rsidP="00885FBB">
      <w:pPr>
        <w:pStyle w:val="NoSpacing"/>
        <w:numPr>
          <w:ilvl w:val="0"/>
          <w:numId w:val="4"/>
        </w:numPr>
        <w:jc w:val="both"/>
        <w:rPr>
          <w:rFonts w:cs="Arial"/>
          <w:szCs w:val="24"/>
        </w:rPr>
      </w:pPr>
      <w:r w:rsidRPr="00885FBB">
        <w:rPr>
          <w:rFonts w:cs="Arial"/>
          <w:szCs w:val="24"/>
        </w:rPr>
        <w:t xml:space="preserve">Any person who, makes a request must be informed whether the University holds the information they have requested and whether there will be a cost involved. </w:t>
      </w:r>
    </w:p>
    <w:p w14:paraId="418FA572" w14:textId="77777777" w:rsidR="00885FBB" w:rsidRPr="00885FBB" w:rsidRDefault="00885FBB" w:rsidP="00885FBB">
      <w:pPr>
        <w:pStyle w:val="NoSpacing"/>
        <w:numPr>
          <w:ilvl w:val="0"/>
          <w:numId w:val="4"/>
        </w:numPr>
        <w:jc w:val="both"/>
        <w:rPr>
          <w:rFonts w:cs="Arial"/>
          <w:szCs w:val="24"/>
        </w:rPr>
      </w:pPr>
      <w:r w:rsidRPr="00885FBB">
        <w:rPr>
          <w:rFonts w:cs="Arial"/>
          <w:szCs w:val="24"/>
        </w:rPr>
        <w:t>The final response to the request must be given in 20 working days (unless there are exemptions such as waiting for a payment fee, waiting for clarification from the requester etc.)</w:t>
      </w:r>
    </w:p>
    <w:p w14:paraId="3ECADE3B" w14:textId="77777777" w:rsidR="00885FBB" w:rsidRPr="00885FBB" w:rsidRDefault="00885FBB" w:rsidP="00885FBB">
      <w:pPr>
        <w:pStyle w:val="NoSpacing"/>
        <w:numPr>
          <w:ilvl w:val="0"/>
          <w:numId w:val="4"/>
        </w:numPr>
        <w:rPr>
          <w:rFonts w:cs="Arial"/>
          <w:szCs w:val="24"/>
        </w:rPr>
      </w:pPr>
      <w:r w:rsidRPr="00885FBB">
        <w:rPr>
          <w:rFonts w:cs="Arial"/>
          <w:szCs w:val="24"/>
        </w:rPr>
        <w:t>The information must be supplied in an accessible format acceptable to the applicant and</w:t>
      </w:r>
    </w:p>
    <w:p w14:paraId="07BC52C8" w14:textId="523853F3" w:rsidR="00885FBB" w:rsidRPr="00885FBB" w:rsidRDefault="00885FBB" w:rsidP="00885FBB">
      <w:pPr>
        <w:pStyle w:val="NoSpacing"/>
        <w:ind w:left="720"/>
        <w:rPr>
          <w:rFonts w:cs="Arial"/>
          <w:szCs w:val="24"/>
        </w:rPr>
      </w:pPr>
      <w:r w:rsidRPr="00885FBB">
        <w:rPr>
          <w:rFonts w:cs="Arial"/>
          <w:szCs w:val="24"/>
        </w:rPr>
        <w:t>there is a duty to provide advice and assistance should anyone need it.</w:t>
      </w:r>
    </w:p>
    <w:p w14:paraId="55F9753B" w14:textId="77777777" w:rsidR="00885FBB" w:rsidRPr="00885FBB" w:rsidRDefault="00885FBB" w:rsidP="00885FBB">
      <w:pPr>
        <w:pStyle w:val="NoSpacing"/>
        <w:ind w:left="720"/>
        <w:rPr>
          <w:rFonts w:cs="Arial"/>
          <w:szCs w:val="24"/>
        </w:rPr>
      </w:pPr>
    </w:p>
    <w:p w14:paraId="65001BBF" w14:textId="77777777" w:rsidR="00885FBB" w:rsidRPr="00885FBB" w:rsidRDefault="00885FBB" w:rsidP="00885FBB">
      <w:pPr>
        <w:pStyle w:val="Heading2"/>
        <w:rPr>
          <w:rFonts w:ascii="Arial" w:hAnsi="Arial" w:cs="Arial"/>
          <w:sz w:val="24"/>
          <w:szCs w:val="24"/>
        </w:rPr>
      </w:pPr>
      <w:bookmarkStart w:id="4" w:name="_Toc117516865"/>
      <w:r w:rsidRPr="00885FBB">
        <w:rPr>
          <w:rFonts w:ascii="Arial" w:hAnsi="Arial" w:cs="Arial"/>
          <w:sz w:val="24"/>
          <w:szCs w:val="24"/>
        </w:rPr>
        <w:t>Exemptions</w:t>
      </w:r>
      <w:bookmarkEnd w:id="4"/>
    </w:p>
    <w:p w14:paraId="2342A4AC" w14:textId="77777777" w:rsidR="00885FBB" w:rsidRPr="00885FBB" w:rsidRDefault="00885FBB" w:rsidP="00885FBB">
      <w:pPr>
        <w:jc w:val="both"/>
        <w:rPr>
          <w:rFonts w:cs="Arial"/>
          <w:szCs w:val="24"/>
        </w:rPr>
      </w:pPr>
    </w:p>
    <w:p w14:paraId="2CD2092D" w14:textId="5E133E1C" w:rsidR="00885FBB" w:rsidRPr="00885FBB" w:rsidRDefault="00885FBB" w:rsidP="00885FBB">
      <w:pPr>
        <w:jc w:val="both"/>
        <w:rPr>
          <w:rFonts w:cs="Arial"/>
          <w:szCs w:val="24"/>
        </w:rPr>
      </w:pPr>
      <w:r w:rsidRPr="00885FBB">
        <w:rPr>
          <w:rFonts w:cs="Arial"/>
          <w:szCs w:val="24"/>
        </w:rPr>
        <w:t>The Act sets out a number of exemptions to the right of access to information; this limits circumstances in which information can be held. All exemptions likely to apply are set out in Appendix A.</w:t>
      </w:r>
    </w:p>
    <w:p w14:paraId="10B6CAFB" w14:textId="77777777" w:rsidR="00885FBB" w:rsidRPr="00885FBB" w:rsidRDefault="00885FBB" w:rsidP="00885FBB">
      <w:pPr>
        <w:pStyle w:val="NoSpacing"/>
        <w:jc w:val="both"/>
        <w:rPr>
          <w:rFonts w:cs="Arial"/>
          <w:szCs w:val="24"/>
        </w:rPr>
      </w:pPr>
      <w:r w:rsidRPr="00885FBB">
        <w:rPr>
          <w:rFonts w:cs="Arial"/>
          <w:szCs w:val="24"/>
        </w:rPr>
        <w:lastRenderedPageBreak/>
        <w:t>Whilst the Act contains a number of exemptions to the right of access to information, some are not relevant to the University i.e. s.36 Conduct of Public Affairs. Any information included in the Publication Scheme is exempt from access (under s.21, as it is accessible by other means).</w:t>
      </w:r>
    </w:p>
    <w:p w14:paraId="3A3F7026" w14:textId="77777777" w:rsidR="00885FBB" w:rsidRPr="00885FBB" w:rsidRDefault="00885FBB" w:rsidP="00885FBB">
      <w:pPr>
        <w:pStyle w:val="Heading2"/>
        <w:rPr>
          <w:rFonts w:ascii="Arial" w:hAnsi="Arial" w:cs="Arial"/>
          <w:sz w:val="24"/>
          <w:szCs w:val="24"/>
        </w:rPr>
      </w:pPr>
    </w:p>
    <w:p w14:paraId="40AE2421" w14:textId="6C9F6701" w:rsidR="00885FBB" w:rsidRPr="00885FBB" w:rsidRDefault="00885FBB" w:rsidP="00885FBB">
      <w:pPr>
        <w:pStyle w:val="Heading2"/>
        <w:rPr>
          <w:rFonts w:ascii="Arial" w:hAnsi="Arial" w:cs="Arial"/>
          <w:sz w:val="24"/>
          <w:szCs w:val="24"/>
        </w:rPr>
      </w:pPr>
      <w:bookmarkStart w:id="5" w:name="_Toc117516866"/>
      <w:r w:rsidRPr="00885FBB">
        <w:rPr>
          <w:rFonts w:ascii="Arial" w:hAnsi="Arial" w:cs="Arial"/>
          <w:sz w:val="24"/>
          <w:szCs w:val="24"/>
        </w:rPr>
        <w:t>The ‘Public Interest’ Test</w:t>
      </w:r>
      <w:bookmarkEnd w:id="5"/>
      <w:r w:rsidRPr="00885FBB">
        <w:rPr>
          <w:rFonts w:ascii="Arial" w:hAnsi="Arial" w:cs="Arial"/>
          <w:sz w:val="24"/>
          <w:szCs w:val="24"/>
        </w:rPr>
        <w:t xml:space="preserve"> </w:t>
      </w:r>
    </w:p>
    <w:p w14:paraId="73ACEC43" w14:textId="77777777" w:rsidR="00885FBB" w:rsidRPr="00885FBB" w:rsidRDefault="00885FBB" w:rsidP="00885FBB">
      <w:pPr>
        <w:pStyle w:val="NoSpacing"/>
        <w:rPr>
          <w:rFonts w:cs="Arial"/>
          <w:szCs w:val="24"/>
        </w:rPr>
      </w:pPr>
    </w:p>
    <w:p w14:paraId="4BF0C438" w14:textId="77777777" w:rsidR="00885FBB" w:rsidRPr="00885FBB" w:rsidRDefault="00885FBB" w:rsidP="00885FBB">
      <w:pPr>
        <w:pStyle w:val="NoSpacing"/>
        <w:jc w:val="both"/>
        <w:rPr>
          <w:rFonts w:cs="Arial"/>
          <w:szCs w:val="24"/>
        </w:rPr>
      </w:pPr>
      <w:r w:rsidRPr="00885FBB">
        <w:rPr>
          <w:rFonts w:cs="Arial"/>
          <w:szCs w:val="24"/>
        </w:rPr>
        <w:t>A number of exemptions under the Act are qualified in that they will only apply where the public interest in maintaining the information outweighs the public interest in disclosing it. The University is being asked to assess whether maintaining the secrecy of the information serves a greater public good than permitting that information to be broadcast. In practice, the public interest test involves considering the circumstances of each particular case and the exemption that covers the information but generally, the balance will lie in favour of disclosure. The Act does not define what the ‘public interest’ is, although it seems clear that the term is not necessarily synonymous with ‘things the public are interested in’.</w:t>
      </w:r>
    </w:p>
    <w:p w14:paraId="6EA4782D" w14:textId="77777777" w:rsidR="00885FBB" w:rsidRPr="00885FBB" w:rsidRDefault="00885FBB" w:rsidP="00885FBB">
      <w:pPr>
        <w:pStyle w:val="NoSpacing"/>
        <w:rPr>
          <w:rFonts w:cs="Arial"/>
          <w:szCs w:val="24"/>
        </w:rPr>
      </w:pPr>
    </w:p>
    <w:p w14:paraId="36A33C67" w14:textId="77777777" w:rsidR="00885FBB" w:rsidRPr="00885FBB" w:rsidRDefault="00885FBB" w:rsidP="00885FBB">
      <w:pPr>
        <w:pStyle w:val="Heading2"/>
        <w:rPr>
          <w:rFonts w:ascii="Arial" w:hAnsi="Arial" w:cs="Arial"/>
          <w:sz w:val="24"/>
          <w:szCs w:val="24"/>
        </w:rPr>
      </w:pPr>
      <w:bookmarkStart w:id="6" w:name="_Toc117516867"/>
      <w:r w:rsidRPr="00885FBB">
        <w:rPr>
          <w:rFonts w:ascii="Arial" w:hAnsi="Arial" w:cs="Arial"/>
          <w:sz w:val="24"/>
          <w:szCs w:val="24"/>
        </w:rPr>
        <w:t>Charging</w:t>
      </w:r>
      <w:bookmarkEnd w:id="6"/>
    </w:p>
    <w:p w14:paraId="2F50FE2E" w14:textId="77777777" w:rsidR="00885FBB" w:rsidRPr="00885FBB" w:rsidRDefault="00885FBB" w:rsidP="00885FBB">
      <w:pPr>
        <w:pStyle w:val="NoSpacing"/>
        <w:rPr>
          <w:rFonts w:cs="Arial"/>
          <w:szCs w:val="24"/>
        </w:rPr>
      </w:pPr>
    </w:p>
    <w:p w14:paraId="5133FE7B" w14:textId="77777777" w:rsidR="00885FBB" w:rsidRPr="00885FBB" w:rsidRDefault="00885FBB" w:rsidP="00885FBB">
      <w:pPr>
        <w:pStyle w:val="NoSpacing"/>
        <w:jc w:val="both"/>
        <w:rPr>
          <w:rFonts w:cs="Arial"/>
          <w:szCs w:val="24"/>
        </w:rPr>
      </w:pPr>
      <w:r w:rsidRPr="00885FBB">
        <w:rPr>
          <w:rFonts w:cs="Arial"/>
          <w:szCs w:val="24"/>
        </w:rPr>
        <w:t>The University has the right to charge applicants for supplying the requested information but is under no obligation to provide information if the cost of doing so would be in excess of an ‘appropriate limit’. The appropriate limit is specified as £450 in the Act. This represents the estimated costs of one person spending 18 hours in determining whether the University holds the information, locating, retrieving and extracting the information. The University is required by law to calculate the time spent responding to requests at no more than £25 per person per hour, regardless of who does the work. If the University reasonably believes that either the cost of disbursements, plus the time taken to search for the information (£25 per hour) will be more than £450 or it will take more than 2 ½ days to respond to the request, the University is entitled either to refuse the request altogether or to charge for all the time taken to respond.</w:t>
      </w:r>
    </w:p>
    <w:p w14:paraId="52B6915E" w14:textId="77777777" w:rsidR="00885FBB" w:rsidRPr="00885FBB" w:rsidRDefault="00885FBB" w:rsidP="00885FBB">
      <w:pPr>
        <w:pStyle w:val="NoSpacing"/>
        <w:rPr>
          <w:rFonts w:cs="Arial"/>
          <w:szCs w:val="24"/>
        </w:rPr>
      </w:pPr>
    </w:p>
    <w:p w14:paraId="40F3B770" w14:textId="77777777" w:rsidR="00885FBB" w:rsidRPr="00885FBB" w:rsidRDefault="00885FBB" w:rsidP="00885FBB">
      <w:pPr>
        <w:pStyle w:val="Heading2"/>
        <w:rPr>
          <w:rFonts w:ascii="Arial" w:hAnsi="Arial" w:cs="Arial"/>
          <w:sz w:val="24"/>
          <w:szCs w:val="24"/>
        </w:rPr>
      </w:pPr>
      <w:bookmarkStart w:id="7" w:name="_Toc117516868"/>
      <w:r w:rsidRPr="00885FBB">
        <w:rPr>
          <w:rFonts w:ascii="Arial" w:hAnsi="Arial" w:cs="Arial"/>
          <w:sz w:val="24"/>
          <w:szCs w:val="24"/>
        </w:rPr>
        <w:t>Publication Scheme</w:t>
      </w:r>
      <w:bookmarkEnd w:id="7"/>
    </w:p>
    <w:p w14:paraId="60D119EE" w14:textId="77777777" w:rsidR="00885FBB" w:rsidRPr="00885FBB" w:rsidRDefault="00885FBB" w:rsidP="00885FBB">
      <w:pPr>
        <w:pStyle w:val="NoSpacing"/>
        <w:rPr>
          <w:rFonts w:cs="Arial"/>
          <w:b/>
          <w:szCs w:val="24"/>
        </w:rPr>
      </w:pPr>
    </w:p>
    <w:p w14:paraId="50DC9BEC" w14:textId="77777777" w:rsidR="00885FBB" w:rsidRPr="00885FBB" w:rsidRDefault="00885FBB" w:rsidP="00885FBB">
      <w:pPr>
        <w:pStyle w:val="NoSpacing"/>
        <w:jc w:val="both"/>
        <w:rPr>
          <w:rFonts w:cs="Arial"/>
          <w:szCs w:val="24"/>
        </w:rPr>
      </w:pPr>
      <w:r w:rsidRPr="00885FBB">
        <w:rPr>
          <w:rFonts w:cs="Arial"/>
          <w:szCs w:val="24"/>
        </w:rPr>
        <w:t xml:space="preserve">Section 19 places a duty on public authorities to adopt and maintain a publication scheme outlining types of information the University publishes, the form which it is published and any charges. </w:t>
      </w:r>
    </w:p>
    <w:p w14:paraId="3A568C1E" w14:textId="77777777" w:rsidR="00885FBB" w:rsidRPr="00885FBB" w:rsidRDefault="00885FBB" w:rsidP="00885FBB">
      <w:pPr>
        <w:pStyle w:val="NoSpacing"/>
        <w:rPr>
          <w:rFonts w:cs="Arial"/>
          <w:szCs w:val="24"/>
        </w:rPr>
      </w:pPr>
    </w:p>
    <w:p w14:paraId="254A3D82" w14:textId="77777777" w:rsidR="00885FBB" w:rsidRPr="00885FBB" w:rsidRDefault="00885FBB" w:rsidP="00885FBB">
      <w:pPr>
        <w:pStyle w:val="NoSpacing"/>
        <w:jc w:val="both"/>
        <w:rPr>
          <w:rFonts w:cs="Arial"/>
          <w:szCs w:val="24"/>
        </w:rPr>
      </w:pPr>
      <w:r w:rsidRPr="00885FBB">
        <w:rPr>
          <w:rFonts w:cs="Arial"/>
          <w:szCs w:val="24"/>
        </w:rPr>
        <w:t>The University Publication Scheme is available and accessible on the web; hard copy versions are also available via the link https://www.edgehill.ac.uk/foi</w:t>
      </w:r>
    </w:p>
    <w:p w14:paraId="2C265934" w14:textId="77777777" w:rsidR="00885FBB" w:rsidRPr="00885FBB" w:rsidRDefault="00885FBB" w:rsidP="00885FBB">
      <w:pPr>
        <w:pStyle w:val="NoSpacing"/>
        <w:rPr>
          <w:rFonts w:cs="Arial"/>
          <w:b/>
          <w:szCs w:val="24"/>
        </w:rPr>
      </w:pPr>
    </w:p>
    <w:p w14:paraId="3CFDC096" w14:textId="77777777" w:rsidR="00885FBB" w:rsidRPr="00885FBB" w:rsidRDefault="00885FBB" w:rsidP="00885FBB">
      <w:pPr>
        <w:pStyle w:val="Heading2"/>
        <w:rPr>
          <w:rFonts w:ascii="Arial" w:hAnsi="Arial" w:cs="Arial"/>
          <w:sz w:val="24"/>
          <w:szCs w:val="24"/>
        </w:rPr>
      </w:pPr>
      <w:bookmarkStart w:id="8" w:name="_Toc117516869"/>
      <w:r w:rsidRPr="00885FBB">
        <w:rPr>
          <w:rFonts w:ascii="Arial" w:hAnsi="Arial" w:cs="Arial"/>
          <w:sz w:val="24"/>
          <w:szCs w:val="24"/>
        </w:rPr>
        <w:t>Implementing the FOIA at Edge Hill University</w:t>
      </w:r>
      <w:bookmarkEnd w:id="8"/>
      <w:r w:rsidRPr="00885FBB">
        <w:rPr>
          <w:rFonts w:ascii="Arial" w:hAnsi="Arial" w:cs="Arial"/>
          <w:sz w:val="24"/>
          <w:szCs w:val="24"/>
        </w:rPr>
        <w:t xml:space="preserve"> </w:t>
      </w:r>
    </w:p>
    <w:p w14:paraId="6DD20112" w14:textId="77777777" w:rsidR="00885FBB" w:rsidRPr="00885FBB" w:rsidRDefault="00885FBB" w:rsidP="00885FBB">
      <w:pPr>
        <w:pStyle w:val="NoSpacing"/>
        <w:rPr>
          <w:rFonts w:cs="Arial"/>
          <w:szCs w:val="24"/>
        </w:rPr>
      </w:pPr>
    </w:p>
    <w:p w14:paraId="2C8013CA" w14:textId="027018F0" w:rsidR="00885FBB" w:rsidRPr="00885FBB" w:rsidRDefault="00885FBB" w:rsidP="00885FBB">
      <w:pPr>
        <w:pStyle w:val="NoSpacing"/>
        <w:jc w:val="both"/>
        <w:rPr>
          <w:rFonts w:cs="Arial"/>
          <w:szCs w:val="24"/>
        </w:rPr>
      </w:pPr>
      <w:r w:rsidRPr="00885FBB">
        <w:rPr>
          <w:rFonts w:cs="Arial"/>
          <w:szCs w:val="24"/>
        </w:rPr>
        <w:t>The formalisation of current practice and procedures for effective administration has been agreed and all requests to the University under the Act should be forwarded to and co-ordinated by the University’s Data Protection Officer in the Strategic Planning &amp; Policy Unit who has developed procedures for requesting information, guidance on how to find information using the publication scheme and logging enquiries and their outcomes.</w:t>
      </w:r>
    </w:p>
    <w:p w14:paraId="4883F6C9" w14:textId="77777777" w:rsidR="00885FBB" w:rsidRPr="00885FBB" w:rsidRDefault="00885FBB" w:rsidP="00885FBB">
      <w:pPr>
        <w:pStyle w:val="NoSpacing"/>
        <w:rPr>
          <w:rFonts w:cs="Arial"/>
          <w:szCs w:val="24"/>
          <w:u w:val="single"/>
        </w:rPr>
      </w:pPr>
    </w:p>
    <w:p w14:paraId="099F6506" w14:textId="77777777" w:rsidR="00885FBB" w:rsidRPr="00885FBB" w:rsidRDefault="00885FBB" w:rsidP="00885FBB">
      <w:pPr>
        <w:pStyle w:val="Heading2"/>
        <w:rPr>
          <w:rFonts w:ascii="Arial" w:hAnsi="Arial" w:cs="Arial"/>
          <w:sz w:val="24"/>
          <w:szCs w:val="24"/>
        </w:rPr>
      </w:pPr>
      <w:bookmarkStart w:id="9" w:name="_Toc117516870"/>
      <w:r w:rsidRPr="00885FBB">
        <w:rPr>
          <w:rFonts w:ascii="Arial" w:hAnsi="Arial" w:cs="Arial"/>
          <w:sz w:val="24"/>
          <w:szCs w:val="24"/>
        </w:rPr>
        <w:t>Communication</w:t>
      </w:r>
      <w:bookmarkEnd w:id="9"/>
    </w:p>
    <w:p w14:paraId="42F34F27" w14:textId="77777777" w:rsidR="00885FBB" w:rsidRPr="00885FBB" w:rsidRDefault="00885FBB" w:rsidP="00885FBB">
      <w:pPr>
        <w:pStyle w:val="NoSpacing"/>
        <w:rPr>
          <w:rFonts w:cs="Arial"/>
          <w:szCs w:val="24"/>
        </w:rPr>
      </w:pPr>
    </w:p>
    <w:p w14:paraId="0B3058F2" w14:textId="74FE7221" w:rsidR="00885FBB" w:rsidRDefault="00885FBB" w:rsidP="00885FBB">
      <w:pPr>
        <w:pStyle w:val="NoSpacing"/>
        <w:jc w:val="both"/>
        <w:rPr>
          <w:rFonts w:cs="Arial"/>
          <w:szCs w:val="24"/>
        </w:rPr>
      </w:pPr>
      <w:r w:rsidRPr="00885FBB">
        <w:rPr>
          <w:rFonts w:cs="Arial"/>
          <w:szCs w:val="24"/>
        </w:rPr>
        <w:t xml:space="preserve">Edge Hill University will provide mandatory Freedom of Information training for all staff as appropriate to their role. Further information and advice can be obtained from the University’s Data Protection/Freedom of Information Officer, either by emailing </w:t>
      </w:r>
      <w:hyperlink r:id="rId11" w:history="1">
        <w:r w:rsidRPr="00885FBB">
          <w:rPr>
            <w:rStyle w:val="Hyperlink"/>
            <w:rFonts w:cs="Arial"/>
            <w:szCs w:val="24"/>
          </w:rPr>
          <w:t>dataprotection@edgehill.ac.uk</w:t>
        </w:r>
      </w:hyperlink>
      <w:r w:rsidRPr="00885FBB">
        <w:rPr>
          <w:rFonts w:cs="Arial"/>
          <w:szCs w:val="24"/>
        </w:rPr>
        <w:t xml:space="preserve">, </w:t>
      </w:r>
      <w:hyperlink r:id="rId12" w:history="1">
        <w:r w:rsidRPr="00885FBB">
          <w:rPr>
            <w:rStyle w:val="Hyperlink"/>
            <w:rFonts w:cs="Arial"/>
            <w:szCs w:val="24"/>
          </w:rPr>
          <w:t>foi@edgehill.ac.uk</w:t>
        </w:r>
      </w:hyperlink>
      <w:r w:rsidRPr="00885FBB">
        <w:rPr>
          <w:rFonts w:cs="Arial"/>
          <w:szCs w:val="24"/>
        </w:rPr>
        <w:t xml:space="preserve"> or by contacting the Information Governance Office, Strategic Planning &amp; Policy Unit, Main Building, Ext. 7791.</w:t>
      </w:r>
    </w:p>
    <w:p w14:paraId="606D505A" w14:textId="5CB069FB" w:rsidR="00885FBB" w:rsidRDefault="00885FBB" w:rsidP="00885FBB">
      <w:pPr>
        <w:pStyle w:val="NoSpacing"/>
        <w:jc w:val="both"/>
        <w:rPr>
          <w:rFonts w:cs="Arial"/>
          <w:szCs w:val="24"/>
        </w:rPr>
      </w:pPr>
    </w:p>
    <w:p w14:paraId="79238F9B" w14:textId="77777777" w:rsidR="00885FBB" w:rsidRPr="00885FBB" w:rsidRDefault="00885FBB" w:rsidP="00885FBB">
      <w:pPr>
        <w:pStyle w:val="Heading2"/>
        <w:rPr>
          <w:rFonts w:ascii="Arial" w:hAnsi="Arial" w:cs="Arial"/>
        </w:rPr>
      </w:pPr>
      <w:bookmarkStart w:id="10" w:name="_Toc117516871"/>
      <w:r w:rsidRPr="00885FBB">
        <w:rPr>
          <w:rFonts w:ascii="Arial" w:hAnsi="Arial" w:cs="Arial"/>
          <w:sz w:val="24"/>
          <w:szCs w:val="24"/>
        </w:rPr>
        <w:t>Enforcement</w:t>
      </w:r>
      <w:bookmarkEnd w:id="10"/>
    </w:p>
    <w:p w14:paraId="6449299D" w14:textId="77777777" w:rsidR="00885FBB" w:rsidRPr="00885FBB" w:rsidRDefault="00885FBB" w:rsidP="00885FBB">
      <w:pPr>
        <w:pStyle w:val="NoSpacing"/>
        <w:jc w:val="both"/>
        <w:rPr>
          <w:rFonts w:cs="Arial"/>
          <w:szCs w:val="24"/>
        </w:rPr>
      </w:pPr>
    </w:p>
    <w:p w14:paraId="65CE530F" w14:textId="77777777" w:rsidR="00885FBB" w:rsidRPr="00885FBB" w:rsidRDefault="00885FBB" w:rsidP="00885FBB">
      <w:pPr>
        <w:pStyle w:val="NoSpacing"/>
        <w:jc w:val="both"/>
        <w:rPr>
          <w:rFonts w:cs="Arial"/>
          <w:szCs w:val="24"/>
        </w:rPr>
      </w:pPr>
      <w:r w:rsidRPr="00885FBB">
        <w:rPr>
          <w:rFonts w:cs="Arial"/>
          <w:szCs w:val="24"/>
        </w:rPr>
        <w:t>If the requestor is not happy with the outcome of their complaint, under s50 of the Act, they can complain to the Information Commissioner for a decision on whether their request for information to the University has been dealt with in accordance with the Act.</w:t>
      </w:r>
    </w:p>
    <w:p w14:paraId="37555D49" w14:textId="77777777" w:rsidR="00885FBB" w:rsidRPr="00885FBB" w:rsidRDefault="00885FBB" w:rsidP="00885FBB">
      <w:pPr>
        <w:pStyle w:val="NoSpacing"/>
        <w:jc w:val="both"/>
        <w:rPr>
          <w:rFonts w:cs="Arial"/>
          <w:szCs w:val="24"/>
        </w:rPr>
      </w:pPr>
    </w:p>
    <w:p w14:paraId="76DEA17D" w14:textId="766C8B83" w:rsidR="00885FBB" w:rsidRPr="00885FBB" w:rsidRDefault="00885FBB" w:rsidP="00885FBB">
      <w:pPr>
        <w:pStyle w:val="NoSpacing"/>
        <w:jc w:val="both"/>
        <w:rPr>
          <w:rFonts w:cs="Arial"/>
          <w:szCs w:val="24"/>
        </w:rPr>
      </w:pPr>
      <w:r w:rsidRPr="00885FBB">
        <w:rPr>
          <w:rFonts w:cs="Arial"/>
          <w:szCs w:val="24"/>
        </w:rPr>
        <w:t>The Act establishes the office of the Information Commissioner with responsibility for the implementation and observance of the Act. The Commissioner has responsibility for approval of publication schemes, the promotion of good information handling and the encouragement of codes of practice for data controllers.</w:t>
      </w:r>
    </w:p>
    <w:p w14:paraId="58D10438" w14:textId="77777777" w:rsidR="00885FBB" w:rsidRPr="00885FBB" w:rsidRDefault="00885FBB" w:rsidP="00885FBB">
      <w:pPr>
        <w:pStyle w:val="NoSpacing"/>
        <w:rPr>
          <w:rFonts w:cs="Arial"/>
          <w:szCs w:val="24"/>
        </w:rPr>
      </w:pPr>
    </w:p>
    <w:p w14:paraId="659BBD0C" w14:textId="77777777" w:rsidR="00885FBB" w:rsidRPr="00885FBB" w:rsidRDefault="00885FBB" w:rsidP="00885FBB">
      <w:pPr>
        <w:pStyle w:val="Heading2"/>
        <w:rPr>
          <w:rFonts w:ascii="Arial" w:hAnsi="Arial" w:cs="Arial"/>
          <w:sz w:val="24"/>
          <w:szCs w:val="24"/>
        </w:rPr>
      </w:pPr>
      <w:bookmarkStart w:id="11" w:name="_Toc117516872"/>
      <w:r w:rsidRPr="00885FBB">
        <w:rPr>
          <w:rFonts w:ascii="Arial" w:hAnsi="Arial" w:cs="Arial"/>
          <w:sz w:val="24"/>
          <w:szCs w:val="24"/>
        </w:rPr>
        <w:t>Complaints</w:t>
      </w:r>
      <w:bookmarkEnd w:id="11"/>
    </w:p>
    <w:p w14:paraId="22B053FF" w14:textId="77777777" w:rsidR="00885FBB" w:rsidRPr="00885FBB" w:rsidRDefault="00885FBB" w:rsidP="00885FBB">
      <w:pPr>
        <w:pStyle w:val="NoSpacing"/>
        <w:rPr>
          <w:rFonts w:cs="Arial"/>
          <w:b/>
          <w:szCs w:val="24"/>
        </w:rPr>
      </w:pPr>
    </w:p>
    <w:p w14:paraId="619320EC" w14:textId="62752398" w:rsidR="00885FBB" w:rsidRPr="00885FBB" w:rsidRDefault="00885FBB" w:rsidP="002B2E69">
      <w:pPr>
        <w:pStyle w:val="NoSpacing"/>
        <w:spacing w:after="7320"/>
        <w:jc w:val="both"/>
        <w:rPr>
          <w:rFonts w:cs="Arial"/>
          <w:b/>
          <w:szCs w:val="24"/>
          <w:u w:val="single"/>
        </w:rPr>
      </w:pPr>
      <w:r w:rsidRPr="00885FBB">
        <w:rPr>
          <w:rFonts w:cs="Arial"/>
          <w:szCs w:val="24"/>
        </w:rPr>
        <w:t>Where a request for information under the Act is denied, or the requestor is not happy with the response to their request, and would like to make a complaint or comment, they can appeal by writing to the Director of Strategic Planning; SPPU, Main Building, Edge Hill University L39 4QP.</w:t>
      </w:r>
      <w:r w:rsidRPr="00885FBB">
        <w:rPr>
          <w:rFonts w:cs="Arial"/>
          <w:b/>
          <w:szCs w:val="24"/>
          <w:u w:val="single"/>
        </w:rPr>
        <w:t xml:space="preserve"> </w:t>
      </w:r>
    </w:p>
    <w:p w14:paraId="2E143A71" w14:textId="77777777" w:rsidR="00885FBB" w:rsidRDefault="00D84C7A" w:rsidP="00D84C7A">
      <w:pPr>
        <w:pStyle w:val="Heading1"/>
      </w:pPr>
      <w:bookmarkStart w:id="12" w:name="_Toc117516873"/>
      <w:r>
        <w:lastRenderedPageBreak/>
        <w:t>Annexes</w:t>
      </w:r>
      <w:bookmarkEnd w:id="12"/>
      <w:r>
        <w:t xml:space="preserve"> </w:t>
      </w:r>
    </w:p>
    <w:p w14:paraId="6C171814" w14:textId="77777777" w:rsidR="00885FBB" w:rsidRPr="00003556" w:rsidRDefault="00885FBB" w:rsidP="00885FBB">
      <w:pPr>
        <w:pStyle w:val="NoSpacing"/>
        <w:jc w:val="both"/>
        <w:rPr>
          <w:rFonts w:ascii="Calibri" w:hAnsi="Calibri" w:cs="Calibri"/>
        </w:rPr>
      </w:pPr>
    </w:p>
    <w:p w14:paraId="4D03A63C" w14:textId="77777777" w:rsidR="00885FBB" w:rsidRPr="00003556" w:rsidRDefault="00885FBB" w:rsidP="00885FBB">
      <w:pPr>
        <w:pStyle w:val="Heading2"/>
      </w:pPr>
      <w:bookmarkStart w:id="13" w:name="_Toc117516874"/>
      <w:r w:rsidRPr="00003556">
        <w:t>Exemptions</w:t>
      </w:r>
      <w:bookmarkEnd w:id="13"/>
    </w:p>
    <w:p w14:paraId="200D2616" w14:textId="77777777" w:rsidR="00885FBB" w:rsidRPr="00885FBB" w:rsidRDefault="00885FBB" w:rsidP="00885FBB">
      <w:pPr>
        <w:pStyle w:val="NoSpacing"/>
        <w:jc w:val="both"/>
        <w:rPr>
          <w:rFonts w:cs="Arial"/>
          <w:szCs w:val="24"/>
        </w:rPr>
      </w:pPr>
    </w:p>
    <w:p w14:paraId="337AEF1D" w14:textId="77777777" w:rsidR="00885FBB" w:rsidRPr="00885FBB" w:rsidRDefault="00885FBB" w:rsidP="00885FBB">
      <w:pPr>
        <w:pStyle w:val="NoSpacing"/>
        <w:jc w:val="both"/>
        <w:rPr>
          <w:rFonts w:cs="Arial"/>
          <w:szCs w:val="24"/>
        </w:rPr>
      </w:pPr>
      <w:r w:rsidRPr="00885FBB">
        <w:rPr>
          <w:rFonts w:cs="Arial"/>
          <w:szCs w:val="24"/>
        </w:rPr>
        <w:t>Some exemptions set out in the Act are subject to the Public Interest Test, these exemptions are known as qualified exemptions. Other exemptions are not subject to the test; are known as absolute exemptions.   Examples of exemptions that are likely to be used by the University are:</w:t>
      </w:r>
    </w:p>
    <w:p w14:paraId="0E33EC34" w14:textId="77777777" w:rsidR="00885FBB" w:rsidRPr="00885FBB" w:rsidRDefault="00885FBB" w:rsidP="00885FBB">
      <w:pPr>
        <w:pStyle w:val="NoSpacing"/>
        <w:jc w:val="both"/>
        <w:rPr>
          <w:rFonts w:cs="Arial"/>
          <w:szCs w:val="24"/>
        </w:rPr>
      </w:pPr>
    </w:p>
    <w:p w14:paraId="78F930FF" w14:textId="77777777" w:rsidR="00885FBB" w:rsidRPr="00885FBB" w:rsidRDefault="00885FBB" w:rsidP="00885FBB">
      <w:pPr>
        <w:pStyle w:val="NoSpacing"/>
        <w:jc w:val="both"/>
        <w:rPr>
          <w:rFonts w:cs="Arial"/>
          <w:szCs w:val="24"/>
        </w:rPr>
      </w:pPr>
      <w:r w:rsidRPr="00885FBB">
        <w:rPr>
          <w:rFonts w:cs="Arial"/>
          <w:szCs w:val="24"/>
          <w:u w:val="single"/>
        </w:rPr>
        <w:t>Section 12</w:t>
      </w:r>
      <w:r w:rsidRPr="00885FBB">
        <w:rPr>
          <w:rFonts w:cs="Arial"/>
          <w:szCs w:val="24"/>
        </w:rPr>
        <w:t>. Cost of compliance exceeds appropriate limit</w:t>
      </w:r>
    </w:p>
    <w:p w14:paraId="0AD9A9FD" w14:textId="77777777" w:rsidR="00885FBB" w:rsidRPr="00885FBB" w:rsidRDefault="00885FBB" w:rsidP="00885FBB">
      <w:pPr>
        <w:pStyle w:val="NoSpacing"/>
        <w:jc w:val="both"/>
        <w:rPr>
          <w:rFonts w:cs="Arial"/>
          <w:szCs w:val="24"/>
          <w:u w:val="single"/>
        </w:rPr>
      </w:pPr>
    </w:p>
    <w:p w14:paraId="5B5B126B" w14:textId="77777777" w:rsidR="00885FBB" w:rsidRPr="00885FBB" w:rsidRDefault="00885FBB" w:rsidP="00885FBB">
      <w:pPr>
        <w:pStyle w:val="NoSpacing"/>
        <w:jc w:val="both"/>
        <w:rPr>
          <w:rFonts w:cs="Arial"/>
          <w:szCs w:val="24"/>
        </w:rPr>
      </w:pPr>
      <w:r w:rsidRPr="00885FBB">
        <w:rPr>
          <w:rFonts w:cs="Arial"/>
          <w:szCs w:val="24"/>
          <w:u w:val="single"/>
        </w:rPr>
        <w:t>Section 14</w:t>
      </w:r>
      <w:r w:rsidRPr="00885FBB">
        <w:rPr>
          <w:rFonts w:cs="Arial"/>
          <w:szCs w:val="24"/>
        </w:rPr>
        <w:t>. This means we are not obliged to comply with requests that are vexatious or repeated requests.</w:t>
      </w:r>
    </w:p>
    <w:p w14:paraId="4FDE85F6" w14:textId="77777777" w:rsidR="00885FBB" w:rsidRPr="00885FBB" w:rsidRDefault="00885FBB" w:rsidP="00885FBB">
      <w:pPr>
        <w:pStyle w:val="NoSpacing"/>
        <w:jc w:val="both"/>
        <w:rPr>
          <w:rFonts w:cs="Arial"/>
          <w:szCs w:val="24"/>
        </w:rPr>
      </w:pPr>
    </w:p>
    <w:p w14:paraId="26C60835" w14:textId="77777777" w:rsidR="00885FBB" w:rsidRPr="00885FBB" w:rsidRDefault="00885FBB" w:rsidP="00885FBB">
      <w:pPr>
        <w:pStyle w:val="NoSpacing"/>
        <w:jc w:val="both"/>
        <w:rPr>
          <w:rFonts w:cs="Arial"/>
          <w:szCs w:val="24"/>
        </w:rPr>
      </w:pPr>
      <w:r w:rsidRPr="00885FBB">
        <w:rPr>
          <w:rFonts w:cs="Arial"/>
          <w:szCs w:val="24"/>
          <w:u w:val="single"/>
        </w:rPr>
        <w:t>Section 21</w:t>
      </w:r>
      <w:r w:rsidRPr="00885FBB">
        <w:rPr>
          <w:rFonts w:cs="Arial"/>
          <w:szCs w:val="24"/>
        </w:rPr>
        <w:t>. Information accessible by other means. Information that has already been available by the University or others does not have been to be given in response to a request.</w:t>
      </w:r>
    </w:p>
    <w:p w14:paraId="1635AAEE" w14:textId="77777777" w:rsidR="00885FBB" w:rsidRPr="00885FBB" w:rsidRDefault="00885FBB" w:rsidP="00885FBB">
      <w:pPr>
        <w:pStyle w:val="NoSpacing"/>
        <w:jc w:val="both"/>
        <w:rPr>
          <w:rFonts w:cs="Arial"/>
          <w:szCs w:val="24"/>
        </w:rPr>
      </w:pPr>
    </w:p>
    <w:p w14:paraId="23EB1F7D" w14:textId="77777777" w:rsidR="00885FBB" w:rsidRPr="00885FBB" w:rsidRDefault="00885FBB" w:rsidP="00885FBB">
      <w:pPr>
        <w:pStyle w:val="NoSpacing"/>
        <w:jc w:val="both"/>
        <w:rPr>
          <w:rFonts w:cs="Arial"/>
          <w:szCs w:val="24"/>
        </w:rPr>
      </w:pPr>
      <w:r w:rsidRPr="00885FBB">
        <w:rPr>
          <w:rFonts w:cs="Arial"/>
          <w:szCs w:val="24"/>
          <w:u w:val="single"/>
        </w:rPr>
        <w:t>Section 22</w:t>
      </w:r>
      <w:r w:rsidRPr="00885FBB">
        <w:rPr>
          <w:rFonts w:cs="Arial"/>
          <w:szCs w:val="24"/>
        </w:rPr>
        <w:t xml:space="preserve">. Information that is intended for future publication. With this exemption, directing to a publication or a website, which holds the information, is suitable. </w:t>
      </w:r>
    </w:p>
    <w:p w14:paraId="0E23CCA3" w14:textId="77777777" w:rsidR="00885FBB" w:rsidRPr="00885FBB" w:rsidRDefault="00885FBB" w:rsidP="00885FBB">
      <w:pPr>
        <w:pStyle w:val="NoSpacing"/>
        <w:jc w:val="both"/>
        <w:rPr>
          <w:rFonts w:cs="Arial"/>
          <w:szCs w:val="24"/>
        </w:rPr>
      </w:pPr>
    </w:p>
    <w:p w14:paraId="0E6E54F8" w14:textId="77777777" w:rsidR="00885FBB" w:rsidRPr="00885FBB" w:rsidRDefault="00885FBB" w:rsidP="00885FBB">
      <w:pPr>
        <w:pStyle w:val="NoSpacing"/>
        <w:jc w:val="both"/>
        <w:rPr>
          <w:rFonts w:cs="Arial"/>
          <w:szCs w:val="24"/>
        </w:rPr>
      </w:pPr>
      <w:r w:rsidRPr="00885FBB">
        <w:rPr>
          <w:rFonts w:cs="Arial"/>
          <w:szCs w:val="24"/>
          <w:u w:val="single"/>
        </w:rPr>
        <w:t>Section 23</w:t>
      </w:r>
      <w:r w:rsidRPr="00885FBB">
        <w:rPr>
          <w:rFonts w:cs="Arial"/>
          <w:szCs w:val="24"/>
        </w:rPr>
        <w:t>. Information supplied by various security authorities. Information held by a public authority is exempt information if it was directly or indirectly supplied to the public authority by, or relates to, any of the bodies specified in subsection.</w:t>
      </w:r>
    </w:p>
    <w:p w14:paraId="39BE7A12" w14:textId="77777777" w:rsidR="00885FBB" w:rsidRPr="00885FBB" w:rsidRDefault="00885FBB" w:rsidP="00885FBB">
      <w:pPr>
        <w:pStyle w:val="NoSpacing"/>
        <w:jc w:val="both"/>
        <w:rPr>
          <w:rFonts w:cs="Arial"/>
          <w:szCs w:val="24"/>
        </w:rPr>
      </w:pPr>
    </w:p>
    <w:p w14:paraId="5B5DE56C" w14:textId="77777777" w:rsidR="00885FBB" w:rsidRPr="00885FBB" w:rsidRDefault="00885FBB" w:rsidP="00885FBB">
      <w:pPr>
        <w:pStyle w:val="NoSpacing"/>
        <w:jc w:val="both"/>
        <w:rPr>
          <w:rFonts w:cs="Arial"/>
          <w:szCs w:val="24"/>
        </w:rPr>
      </w:pPr>
      <w:r w:rsidRPr="00885FBB">
        <w:rPr>
          <w:rFonts w:cs="Arial"/>
          <w:szCs w:val="24"/>
          <w:u w:val="single"/>
        </w:rPr>
        <w:t>Section 24.</w:t>
      </w:r>
      <w:r w:rsidRPr="00885FBB">
        <w:rPr>
          <w:rFonts w:cs="Arial"/>
          <w:szCs w:val="24"/>
        </w:rPr>
        <w:t xml:space="preserve"> Information required for the purpose of safeguarding national security</w:t>
      </w:r>
    </w:p>
    <w:p w14:paraId="3C3734C1" w14:textId="77777777" w:rsidR="00885FBB" w:rsidRPr="00885FBB" w:rsidRDefault="00885FBB" w:rsidP="00885FBB">
      <w:pPr>
        <w:pStyle w:val="NoSpacing"/>
        <w:jc w:val="both"/>
        <w:rPr>
          <w:rFonts w:cs="Arial"/>
          <w:szCs w:val="24"/>
        </w:rPr>
      </w:pPr>
    </w:p>
    <w:p w14:paraId="2CEFA5C2" w14:textId="77777777" w:rsidR="00885FBB" w:rsidRPr="00885FBB" w:rsidRDefault="00885FBB" w:rsidP="00885FBB">
      <w:pPr>
        <w:pStyle w:val="NoSpacing"/>
        <w:jc w:val="both"/>
        <w:rPr>
          <w:rFonts w:cs="Arial"/>
          <w:szCs w:val="24"/>
        </w:rPr>
      </w:pPr>
      <w:r w:rsidRPr="00885FBB">
        <w:rPr>
          <w:rFonts w:cs="Arial"/>
          <w:szCs w:val="24"/>
          <w:u w:val="single"/>
        </w:rPr>
        <w:t>Section 26.</w:t>
      </w:r>
      <w:r w:rsidRPr="00885FBB">
        <w:rPr>
          <w:rFonts w:cs="Arial"/>
          <w:szCs w:val="24"/>
        </w:rPr>
        <w:t xml:space="preserve"> Information prejudice to defence. The information is exempt if the disclosure under this Act would be likely to prejudice the defence of the British Islands r of any colony, or the capability, effectiveness or security of any relevant forces. </w:t>
      </w:r>
    </w:p>
    <w:p w14:paraId="00B6CE8F" w14:textId="77777777" w:rsidR="00885FBB" w:rsidRPr="00885FBB" w:rsidRDefault="00885FBB" w:rsidP="00885FBB">
      <w:pPr>
        <w:pStyle w:val="NoSpacing"/>
        <w:jc w:val="both"/>
        <w:rPr>
          <w:rFonts w:cs="Arial"/>
          <w:szCs w:val="24"/>
        </w:rPr>
      </w:pPr>
    </w:p>
    <w:p w14:paraId="001EF794" w14:textId="77777777" w:rsidR="00885FBB" w:rsidRPr="00885FBB" w:rsidRDefault="00885FBB" w:rsidP="00885FBB">
      <w:pPr>
        <w:pStyle w:val="NoSpacing"/>
        <w:jc w:val="both"/>
        <w:rPr>
          <w:rFonts w:cs="Arial"/>
          <w:szCs w:val="24"/>
        </w:rPr>
      </w:pPr>
      <w:r w:rsidRPr="00885FBB">
        <w:rPr>
          <w:rFonts w:cs="Arial"/>
          <w:szCs w:val="24"/>
          <w:u w:val="single"/>
        </w:rPr>
        <w:t>Section 27.</w:t>
      </w:r>
      <w:r w:rsidRPr="00885FBB">
        <w:rPr>
          <w:rFonts w:cs="Arial"/>
          <w:szCs w:val="24"/>
        </w:rPr>
        <w:t xml:space="preserve"> Information prejudicial to UK international relations and interests.</w:t>
      </w:r>
    </w:p>
    <w:p w14:paraId="3F0CA203" w14:textId="77777777" w:rsidR="00885FBB" w:rsidRPr="00885FBB" w:rsidRDefault="00885FBB" w:rsidP="00885FBB">
      <w:pPr>
        <w:pStyle w:val="NoSpacing"/>
        <w:jc w:val="both"/>
        <w:rPr>
          <w:rFonts w:cs="Arial"/>
          <w:szCs w:val="24"/>
        </w:rPr>
      </w:pPr>
    </w:p>
    <w:p w14:paraId="62B029BC" w14:textId="77777777" w:rsidR="00885FBB" w:rsidRPr="00885FBB" w:rsidRDefault="00885FBB" w:rsidP="00885FBB">
      <w:pPr>
        <w:pStyle w:val="NoSpacing"/>
        <w:jc w:val="both"/>
        <w:rPr>
          <w:rFonts w:cs="Arial"/>
          <w:szCs w:val="24"/>
        </w:rPr>
      </w:pPr>
      <w:r w:rsidRPr="00885FBB">
        <w:rPr>
          <w:rFonts w:cs="Arial"/>
          <w:szCs w:val="24"/>
          <w:u w:val="single"/>
        </w:rPr>
        <w:t>Section 30.</w:t>
      </w:r>
      <w:r w:rsidRPr="00885FBB">
        <w:rPr>
          <w:rFonts w:cs="Arial"/>
          <w:szCs w:val="24"/>
        </w:rPr>
        <w:t xml:space="preserve"> Information held for the purpose of any investigation which we have a duty to conduct with a view to it being ascertained if a person should be charged with an offence whether a person charge with an offence is guilty of it; any investigation may lead to a decision by us to institute criminal proceedings; and any criminal proceedings which the University has power to conduct principally defence tribunals).</w:t>
      </w:r>
    </w:p>
    <w:p w14:paraId="1B3E012B" w14:textId="77777777" w:rsidR="00885FBB" w:rsidRPr="00885FBB" w:rsidRDefault="00885FBB" w:rsidP="00885FBB">
      <w:pPr>
        <w:pStyle w:val="NoSpacing"/>
        <w:jc w:val="both"/>
        <w:rPr>
          <w:rFonts w:cs="Arial"/>
          <w:szCs w:val="24"/>
        </w:rPr>
      </w:pPr>
    </w:p>
    <w:p w14:paraId="34BF895E" w14:textId="77777777" w:rsidR="00885FBB" w:rsidRPr="00885FBB" w:rsidRDefault="00885FBB" w:rsidP="00885FBB">
      <w:pPr>
        <w:pStyle w:val="NoSpacing"/>
        <w:jc w:val="both"/>
        <w:rPr>
          <w:rFonts w:cs="Arial"/>
          <w:szCs w:val="24"/>
        </w:rPr>
      </w:pPr>
      <w:r w:rsidRPr="00885FBB">
        <w:rPr>
          <w:rFonts w:cs="Arial"/>
          <w:szCs w:val="24"/>
          <w:u w:val="single"/>
        </w:rPr>
        <w:t>Section 31.</w:t>
      </w:r>
      <w:r w:rsidRPr="00885FBB">
        <w:rPr>
          <w:rFonts w:cs="Arial"/>
          <w:szCs w:val="24"/>
        </w:rPr>
        <w:t xml:space="preserve"> Various provisions about law enforcement including the administration of justice (which apply to the University Courts), but also the protection of charities against misconduct or mismanagement, protecting the property of charities from loss or misapplication, security health safety and welfare of persons at work.</w:t>
      </w:r>
    </w:p>
    <w:p w14:paraId="33059E36" w14:textId="77777777" w:rsidR="00885FBB" w:rsidRPr="00885FBB" w:rsidRDefault="00885FBB" w:rsidP="00885FBB">
      <w:pPr>
        <w:pStyle w:val="NoSpacing"/>
        <w:jc w:val="both"/>
        <w:rPr>
          <w:rFonts w:cs="Arial"/>
          <w:szCs w:val="24"/>
        </w:rPr>
      </w:pPr>
      <w:r w:rsidRPr="00885FBB">
        <w:rPr>
          <w:rFonts w:cs="Arial"/>
          <w:szCs w:val="24"/>
        </w:rPr>
        <w:t xml:space="preserve"> </w:t>
      </w:r>
    </w:p>
    <w:p w14:paraId="799346E5" w14:textId="77777777" w:rsidR="00885FBB" w:rsidRPr="00885FBB" w:rsidRDefault="00885FBB" w:rsidP="00885FBB">
      <w:pPr>
        <w:pStyle w:val="NoSpacing"/>
        <w:jc w:val="both"/>
        <w:rPr>
          <w:rFonts w:cs="Arial"/>
          <w:szCs w:val="24"/>
        </w:rPr>
      </w:pPr>
      <w:r w:rsidRPr="00885FBB">
        <w:rPr>
          <w:rFonts w:cs="Arial"/>
          <w:szCs w:val="24"/>
          <w:u w:val="single"/>
        </w:rPr>
        <w:t>Section 32</w:t>
      </w:r>
      <w:r w:rsidRPr="00885FBB">
        <w:rPr>
          <w:rFonts w:cs="Arial"/>
          <w:szCs w:val="24"/>
        </w:rPr>
        <w:t>. Court Records</w:t>
      </w:r>
    </w:p>
    <w:p w14:paraId="2213B1C2" w14:textId="77777777" w:rsidR="00885FBB" w:rsidRPr="00885FBB" w:rsidRDefault="00885FBB" w:rsidP="00885FBB">
      <w:pPr>
        <w:pStyle w:val="NoSpacing"/>
        <w:jc w:val="both"/>
        <w:rPr>
          <w:rFonts w:cs="Arial"/>
          <w:szCs w:val="24"/>
        </w:rPr>
      </w:pPr>
    </w:p>
    <w:p w14:paraId="68972EF9" w14:textId="77777777" w:rsidR="00885FBB" w:rsidRPr="00885FBB" w:rsidRDefault="00885FBB" w:rsidP="00885FBB">
      <w:pPr>
        <w:pStyle w:val="NoSpacing"/>
        <w:jc w:val="both"/>
        <w:rPr>
          <w:rFonts w:cs="Arial"/>
          <w:szCs w:val="24"/>
        </w:rPr>
      </w:pPr>
      <w:r w:rsidRPr="00885FBB">
        <w:rPr>
          <w:rFonts w:cs="Arial"/>
          <w:szCs w:val="24"/>
          <w:u w:val="single"/>
        </w:rPr>
        <w:t>Section 33.</w:t>
      </w:r>
      <w:r w:rsidRPr="00885FBB">
        <w:rPr>
          <w:rFonts w:cs="Arial"/>
          <w:szCs w:val="24"/>
        </w:rPr>
        <w:t xml:space="preserve"> Function in relation to the audit of the accounts of other public authorities or other audit functions.</w:t>
      </w:r>
    </w:p>
    <w:p w14:paraId="0AF1FBF3" w14:textId="77777777" w:rsidR="00885FBB" w:rsidRPr="00885FBB" w:rsidRDefault="00885FBB" w:rsidP="00885FBB">
      <w:pPr>
        <w:pStyle w:val="NoSpacing"/>
        <w:jc w:val="both"/>
        <w:rPr>
          <w:rFonts w:cs="Arial"/>
          <w:szCs w:val="24"/>
        </w:rPr>
      </w:pPr>
    </w:p>
    <w:p w14:paraId="005B4590" w14:textId="77777777" w:rsidR="00885FBB" w:rsidRPr="00885FBB" w:rsidRDefault="00885FBB" w:rsidP="00885FBB">
      <w:pPr>
        <w:jc w:val="both"/>
        <w:rPr>
          <w:rFonts w:cs="Arial"/>
          <w:b/>
          <w:szCs w:val="24"/>
        </w:rPr>
      </w:pPr>
      <w:r w:rsidRPr="00885FBB">
        <w:rPr>
          <w:rFonts w:cs="Arial"/>
          <w:szCs w:val="24"/>
          <w:u w:val="single"/>
        </w:rPr>
        <w:lastRenderedPageBreak/>
        <w:t>Section 36.</w:t>
      </w:r>
      <w:r w:rsidRPr="00885FBB">
        <w:rPr>
          <w:rFonts w:cs="Arial"/>
          <w:szCs w:val="24"/>
        </w:rPr>
        <w:t xml:space="preserve"> Prejudice to effective conduct of public affairs.</w:t>
      </w:r>
    </w:p>
    <w:p w14:paraId="48886633" w14:textId="77777777" w:rsidR="00885FBB" w:rsidRPr="00885FBB" w:rsidRDefault="00885FBB" w:rsidP="00885FBB">
      <w:pPr>
        <w:spacing w:line="240" w:lineRule="auto"/>
        <w:jc w:val="both"/>
        <w:rPr>
          <w:rFonts w:cs="Arial"/>
          <w:szCs w:val="24"/>
          <w:u w:val="single"/>
        </w:rPr>
      </w:pPr>
      <w:r w:rsidRPr="00885FBB">
        <w:rPr>
          <w:rFonts w:cs="Arial"/>
          <w:szCs w:val="24"/>
        </w:rPr>
        <w:t xml:space="preserve">If releasing information would inhibit the free &amp; frank provision of advice or exchange of views for deliberation in the opinion of a </w:t>
      </w:r>
      <w:r w:rsidRPr="00885FBB">
        <w:rPr>
          <w:rFonts w:cs="Arial"/>
          <w:i/>
          <w:szCs w:val="24"/>
        </w:rPr>
        <w:t>qualified person</w:t>
      </w:r>
      <w:r w:rsidRPr="00885FBB">
        <w:rPr>
          <w:rFonts w:cs="Arial"/>
          <w:szCs w:val="24"/>
        </w:rPr>
        <w:t xml:space="preserve"> then this information may be exempt.  (Under the Act, the qualified person is likely to be the Vice Chancellor, or someone nominated by him and so this will only apply to high-level decision-making.)</w:t>
      </w:r>
      <w:r w:rsidRPr="00885FBB">
        <w:rPr>
          <w:rFonts w:cs="Arial"/>
          <w:szCs w:val="24"/>
          <w:u w:val="single"/>
        </w:rPr>
        <w:t xml:space="preserve"> </w:t>
      </w:r>
    </w:p>
    <w:p w14:paraId="33C597E8" w14:textId="77777777" w:rsidR="00885FBB" w:rsidRPr="00885FBB" w:rsidRDefault="00885FBB" w:rsidP="00885FBB">
      <w:pPr>
        <w:spacing w:line="240" w:lineRule="auto"/>
        <w:jc w:val="both"/>
        <w:rPr>
          <w:rFonts w:cs="Arial"/>
          <w:szCs w:val="24"/>
        </w:rPr>
      </w:pPr>
      <w:r w:rsidRPr="00885FBB">
        <w:rPr>
          <w:rFonts w:cs="Arial"/>
          <w:szCs w:val="24"/>
          <w:u w:val="single"/>
        </w:rPr>
        <w:t>Section 37</w:t>
      </w:r>
      <w:r w:rsidRPr="00885FBB">
        <w:rPr>
          <w:rFonts w:cs="Arial"/>
          <w:szCs w:val="24"/>
        </w:rPr>
        <w:t>. Communications with her Majesty, other members of the Royal Family and The Royal Household, or matters relating to honours and dignities conferred by the Crown.</w:t>
      </w:r>
    </w:p>
    <w:p w14:paraId="3E617E4A" w14:textId="77777777" w:rsidR="00885FBB" w:rsidRPr="00885FBB" w:rsidRDefault="00885FBB" w:rsidP="00885FBB">
      <w:pPr>
        <w:spacing w:line="240" w:lineRule="auto"/>
        <w:jc w:val="both"/>
        <w:rPr>
          <w:rFonts w:cs="Arial"/>
          <w:szCs w:val="24"/>
        </w:rPr>
      </w:pPr>
      <w:r w:rsidRPr="00885FBB">
        <w:rPr>
          <w:rFonts w:cs="Arial"/>
          <w:szCs w:val="24"/>
          <w:u w:val="single"/>
        </w:rPr>
        <w:t>Section 38.</w:t>
      </w:r>
      <w:r w:rsidRPr="00885FBB">
        <w:rPr>
          <w:rFonts w:cs="Arial"/>
          <w:szCs w:val="24"/>
        </w:rPr>
        <w:t xml:space="preserve"> Healthy and safety. Information liable to endanger the physical or mental health of any individual or endanger the safety of an individual. If it could endanger a member of the public, student or staff, this information should be withheld.</w:t>
      </w:r>
    </w:p>
    <w:p w14:paraId="3D36C303" w14:textId="77777777" w:rsidR="00885FBB" w:rsidRPr="00885FBB" w:rsidRDefault="00885FBB" w:rsidP="00885FBB">
      <w:pPr>
        <w:spacing w:line="240" w:lineRule="auto"/>
        <w:jc w:val="both"/>
        <w:rPr>
          <w:rFonts w:cs="Arial"/>
          <w:szCs w:val="24"/>
        </w:rPr>
      </w:pPr>
      <w:r w:rsidRPr="00885FBB">
        <w:rPr>
          <w:rFonts w:cs="Arial"/>
          <w:szCs w:val="24"/>
          <w:u w:val="single"/>
        </w:rPr>
        <w:t>Section 39</w:t>
      </w:r>
      <w:r w:rsidRPr="00885FBB">
        <w:rPr>
          <w:rFonts w:cs="Arial"/>
          <w:szCs w:val="24"/>
        </w:rPr>
        <w:t xml:space="preserve">. Environmental information </w:t>
      </w:r>
    </w:p>
    <w:p w14:paraId="78E413AB" w14:textId="77777777" w:rsidR="00885FBB" w:rsidRPr="00885FBB" w:rsidRDefault="00885FBB" w:rsidP="00885FBB">
      <w:pPr>
        <w:spacing w:line="240" w:lineRule="auto"/>
        <w:jc w:val="both"/>
        <w:rPr>
          <w:rFonts w:cs="Arial"/>
          <w:szCs w:val="24"/>
        </w:rPr>
      </w:pPr>
      <w:r w:rsidRPr="00885FBB">
        <w:rPr>
          <w:rFonts w:cs="Arial"/>
          <w:szCs w:val="24"/>
          <w:u w:val="single"/>
        </w:rPr>
        <w:t>Section 40</w:t>
      </w:r>
      <w:r w:rsidRPr="00885FBB">
        <w:rPr>
          <w:rFonts w:cs="Arial"/>
          <w:szCs w:val="24"/>
        </w:rPr>
        <w:t>. Personal information – regulated by Data Protection Act principles and procedures</w:t>
      </w:r>
    </w:p>
    <w:p w14:paraId="60D36F32" w14:textId="77777777" w:rsidR="00885FBB" w:rsidRPr="00885FBB" w:rsidRDefault="00885FBB" w:rsidP="00885FBB">
      <w:pPr>
        <w:spacing w:line="240" w:lineRule="auto"/>
        <w:jc w:val="both"/>
        <w:rPr>
          <w:rFonts w:cs="Arial"/>
          <w:szCs w:val="24"/>
        </w:rPr>
      </w:pPr>
      <w:r w:rsidRPr="00885FBB">
        <w:rPr>
          <w:rFonts w:cs="Arial"/>
          <w:szCs w:val="24"/>
          <w:u w:val="single"/>
        </w:rPr>
        <w:t>Section 43.</w:t>
      </w:r>
      <w:r w:rsidRPr="00885FBB">
        <w:rPr>
          <w:rFonts w:cs="Arial"/>
          <w:szCs w:val="24"/>
        </w:rPr>
        <w:t xml:space="preserve"> Commercial Interests</w:t>
      </w:r>
    </w:p>
    <w:p w14:paraId="2A5DB68B" w14:textId="77777777" w:rsidR="00885FBB" w:rsidRPr="00003556" w:rsidRDefault="00885FBB" w:rsidP="00885FBB">
      <w:pPr>
        <w:pStyle w:val="NoSpacing"/>
        <w:rPr>
          <w:rFonts w:ascii="Calibri" w:hAnsi="Calibri" w:cs="Calibri"/>
          <w:sz w:val="22"/>
          <w:u w:val="single"/>
        </w:rPr>
      </w:pPr>
    </w:p>
    <w:p w14:paraId="19CFCCA1" w14:textId="7C13646A" w:rsidR="000D23AF" w:rsidRDefault="000D23AF" w:rsidP="00D84C7A">
      <w:pPr>
        <w:pStyle w:val="Heading1"/>
      </w:pPr>
      <w:r>
        <w:br w:type="page"/>
      </w:r>
    </w:p>
    <w:p w14:paraId="051EBB2D" w14:textId="77777777" w:rsidR="00885FBB" w:rsidRDefault="00885FBB" w:rsidP="00885FBB">
      <w:pPr>
        <w:pStyle w:val="Heading1"/>
      </w:pPr>
      <w:bookmarkStart w:id="14" w:name="_Toc117515164"/>
      <w:bookmarkStart w:id="15" w:name="_Toc117516098"/>
      <w:bookmarkStart w:id="16" w:name="_Toc117516875"/>
      <w:r>
        <w:lastRenderedPageBreak/>
        <w:t>Change History Record</w:t>
      </w:r>
      <w:bookmarkEnd w:id="14"/>
      <w:bookmarkEnd w:id="15"/>
      <w:bookmarkEnd w:id="16"/>
    </w:p>
    <w:p w14:paraId="06FF6A31" w14:textId="77777777" w:rsidR="00885FBB" w:rsidRDefault="00885FBB" w:rsidP="00885FBB">
      <w:pPr>
        <w:rPr>
          <w:rFonts w:cs="Arial"/>
          <w:sz w:val="22"/>
        </w:rPr>
      </w:pPr>
    </w:p>
    <w:tbl>
      <w:tblPr>
        <w:tblStyle w:val="TableGridLight"/>
        <w:tblpPr w:leftFromText="180" w:rightFromText="180" w:vertAnchor="text" w:horzAnchor="margin" w:tblpY="285"/>
        <w:tblW w:w="8962" w:type="dxa"/>
        <w:tblInd w:w="0" w:type="dxa"/>
        <w:tblLook w:val="04A0" w:firstRow="1" w:lastRow="0" w:firstColumn="1" w:lastColumn="0" w:noHBand="0" w:noVBand="1"/>
      </w:tblPr>
      <w:tblGrid>
        <w:gridCol w:w="1101"/>
        <w:gridCol w:w="3543"/>
        <w:gridCol w:w="2294"/>
        <w:gridCol w:w="2024"/>
      </w:tblGrid>
      <w:tr w:rsidR="00885FBB" w14:paraId="1F3C37A7" w14:textId="77777777" w:rsidTr="00CD21FA">
        <w:trPr>
          <w:trHeight w:val="301"/>
          <w:tblHeader/>
        </w:trPr>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99A029" w14:textId="77777777" w:rsidR="00885FBB" w:rsidRDefault="00885FBB" w:rsidP="00703DF5">
            <w:pPr>
              <w:rPr>
                <w:rFonts w:cs="Arial"/>
                <w:b/>
                <w:sz w:val="22"/>
                <w:lang w:eastAsia="en-GB"/>
              </w:rPr>
            </w:pPr>
            <w:r>
              <w:rPr>
                <w:rFonts w:cs="Arial"/>
                <w:b/>
                <w:sz w:val="22"/>
                <w:lang w:eastAsia="en-GB"/>
              </w:rPr>
              <w:t>Version</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A20DE1" w14:textId="77777777" w:rsidR="00885FBB" w:rsidRDefault="00885FBB" w:rsidP="00703DF5">
            <w:pPr>
              <w:rPr>
                <w:rFonts w:cs="Arial"/>
                <w:b/>
                <w:sz w:val="22"/>
                <w:lang w:eastAsia="en-GB"/>
              </w:rPr>
            </w:pPr>
            <w:r>
              <w:rPr>
                <w:rFonts w:cs="Arial"/>
                <w:b/>
                <w:sz w:val="22"/>
                <w:lang w:eastAsia="en-GB"/>
              </w:rPr>
              <w:t>Description of Change</w:t>
            </w:r>
          </w:p>
        </w:tc>
        <w:tc>
          <w:tcPr>
            <w:tcW w:w="2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B2111" w14:textId="77777777" w:rsidR="00885FBB" w:rsidRDefault="00885FBB" w:rsidP="00703DF5">
            <w:pPr>
              <w:rPr>
                <w:rFonts w:cs="Arial"/>
                <w:b/>
                <w:sz w:val="22"/>
                <w:lang w:eastAsia="en-GB"/>
              </w:rPr>
            </w:pPr>
            <w:r>
              <w:rPr>
                <w:rFonts w:cs="Arial"/>
                <w:b/>
                <w:sz w:val="22"/>
                <w:lang w:eastAsia="en-GB"/>
              </w:rPr>
              <w:t>Approval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06916" w14:textId="77777777" w:rsidR="00885FBB" w:rsidRDefault="00885FBB" w:rsidP="00703DF5">
            <w:pPr>
              <w:rPr>
                <w:rFonts w:cs="Arial"/>
                <w:b/>
                <w:sz w:val="22"/>
                <w:lang w:eastAsia="en-GB"/>
              </w:rPr>
            </w:pPr>
            <w:r>
              <w:rPr>
                <w:rFonts w:cs="Arial"/>
                <w:b/>
                <w:sz w:val="22"/>
                <w:lang w:eastAsia="en-GB"/>
              </w:rPr>
              <w:t xml:space="preserve">Date </w:t>
            </w:r>
          </w:p>
        </w:tc>
      </w:tr>
      <w:tr w:rsidR="00885FBB" w14:paraId="1AA4C026" w14:textId="77777777" w:rsidTr="00703DF5">
        <w:trPr>
          <w:trHeight w:val="291"/>
        </w:trPr>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2FC028" w14:textId="77777777" w:rsidR="00885FBB" w:rsidRDefault="00885FBB" w:rsidP="00703DF5">
            <w:pPr>
              <w:rPr>
                <w:rFonts w:cs="Arial"/>
                <w:sz w:val="22"/>
                <w:lang w:eastAsia="en-GB"/>
              </w:rPr>
            </w:pPr>
            <w:r>
              <w:rPr>
                <w:rFonts w:cs="Arial"/>
                <w:sz w:val="22"/>
                <w:lang w:eastAsia="en-GB"/>
              </w:rPr>
              <w:t>1.0</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BAB1B" w14:textId="77777777" w:rsidR="00885FBB" w:rsidRDefault="00885FBB" w:rsidP="00703DF5">
            <w:pPr>
              <w:tabs>
                <w:tab w:val="left" w:pos="975"/>
              </w:tabs>
              <w:rPr>
                <w:rFonts w:cs="Arial"/>
                <w:sz w:val="22"/>
                <w:lang w:eastAsia="en-GB"/>
              </w:rPr>
            </w:pPr>
            <w:r>
              <w:rPr>
                <w:rFonts w:cs="Arial"/>
                <w:sz w:val="22"/>
                <w:lang w:eastAsia="en-GB"/>
              </w:rPr>
              <w:t>Initial Draft</w:t>
            </w:r>
          </w:p>
        </w:tc>
        <w:tc>
          <w:tcPr>
            <w:tcW w:w="2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0FE5DA" w14:textId="77777777" w:rsidR="00885FBB" w:rsidRDefault="00885FBB" w:rsidP="00703DF5">
            <w:pPr>
              <w:rPr>
                <w:rFonts w:cs="Arial"/>
                <w:sz w:val="22"/>
                <w:lang w:eastAsia="en-GB"/>
              </w:rPr>
            </w:pPr>
            <w:r>
              <w:rPr>
                <w:rFonts w:cs="Arial"/>
                <w:sz w:val="22"/>
                <w:lang w:eastAsia="en-GB"/>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1BB20" w14:textId="77777777" w:rsidR="00885FBB" w:rsidRDefault="00885FBB" w:rsidP="00703DF5">
            <w:pPr>
              <w:rPr>
                <w:rFonts w:cs="Arial"/>
                <w:sz w:val="22"/>
                <w:lang w:eastAsia="en-GB"/>
              </w:rPr>
            </w:pPr>
          </w:p>
        </w:tc>
      </w:tr>
      <w:tr w:rsidR="00885FBB" w14:paraId="72C9B83C" w14:textId="77777777" w:rsidTr="00703DF5">
        <w:trPr>
          <w:trHeight w:val="291"/>
        </w:trPr>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6C3FA8" w14:textId="77777777" w:rsidR="00885FBB" w:rsidRDefault="00885FBB" w:rsidP="00703DF5">
            <w:pPr>
              <w:rPr>
                <w:rFonts w:cs="Arial"/>
                <w:sz w:val="22"/>
                <w:lang w:eastAsia="en-GB"/>
              </w:rPr>
            </w:pPr>
            <w:r>
              <w:rPr>
                <w:rFonts w:cs="Arial"/>
                <w:sz w:val="22"/>
                <w:lang w:eastAsia="en-GB"/>
              </w:rPr>
              <w:t>1.1</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2DF4D" w14:textId="77777777" w:rsidR="00885FBB" w:rsidRDefault="00885FBB" w:rsidP="00703DF5">
            <w:pPr>
              <w:rPr>
                <w:rFonts w:cs="Arial"/>
                <w:sz w:val="22"/>
                <w:lang w:eastAsia="en-GB"/>
              </w:rPr>
            </w:pPr>
            <w:r>
              <w:rPr>
                <w:rFonts w:cs="Arial"/>
                <w:sz w:val="22"/>
                <w:lang w:eastAsia="en-GB"/>
              </w:rPr>
              <w:t>Minor comments and corrections</w:t>
            </w:r>
          </w:p>
        </w:tc>
        <w:tc>
          <w:tcPr>
            <w:tcW w:w="2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CD93EB" w14:textId="77777777" w:rsidR="00885FBB" w:rsidRDefault="00885FBB" w:rsidP="00703DF5">
            <w:pPr>
              <w:rPr>
                <w:rFonts w:cs="Arial"/>
                <w:sz w:val="22"/>
                <w:lang w:eastAsia="en-GB"/>
              </w:rPr>
            </w:pPr>
            <w:r>
              <w:rPr>
                <w:rFonts w:cs="Arial"/>
                <w:sz w:val="22"/>
                <w:lang w:eastAsia="en-GB"/>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07D75" w14:textId="77777777" w:rsidR="00885FBB" w:rsidRDefault="00885FBB" w:rsidP="00703DF5">
            <w:pPr>
              <w:rPr>
                <w:rFonts w:cs="Arial"/>
                <w:sz w:val="22"/>
                <w:lang w:eastAsia="en-GB"/>
              </w:rPr>
            </w:pPr>
          </w:p>
        </w:tc>
      </w:tr>
      <w:tr w:rsidR="00885FBB" w14:paraId="46C18089" w14:textId="77777777" w:rsidTr="00703DF5">
        <w:trPr>
          <w:trHeight w:val="291"/>
        </w:trPr>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DC19E" w14:textId="6EF30712" w:rsidR="00885FBB" w:rsidRDefault="00885FBB" w:rsidP="00703DF5">
            <w:pPr>
              <w:rPr>
                <w:rFonts w:cs="Arial"/>
                <w:sz w:val="22"/>
                <w:lang w:eastAsia="en-GB"/>
              </w:rPr>
            </w:pPr>
            <w:r>
              <w:rPr>
                <w:rFonts w:cs="Arial"/>
                <w:sz w:val="22"/>
                <w:lang w:eastAsia="en-GB"/>
              </w:rPr>
              <w:t>2.1</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9B2ED" w14:textId="3F190109" w:rsidR="00885FBB" w:rsidRDefault="00885FBB" w:rsidP="00703DF5">
            <w:pPr>
              <w:rPr>
                <w:rFonts w:cs="Arial"/>
                <w:sz w:val="22"/>
                <w:lang w:eastAsia="en-GB"/>
              </w:rPr>
            </w:pPr>
            <w:r>
              <w:rPr>
                <w:rFonts w:cs="Arial"/>
                <w:sz w:val="22"/>
                <w:lang w:eastAsia="en-GB"/>
              </w:rPr>
              <w:t>Updated legislation</w:t>
            </w:r>
          </w:p>
        </w:tc>
        <w:tc>
          <w:tcPr>
            <w:tcW w:w="2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81F07C" w14:textId="7A396F23" w:rsidR="00885FBB" w:rsidRDefault="00885FBB" w:rsidP="00703DF5">
            <w:pPr>
              <w:rPr>
                <w:rFonts w:cs="Arial"/>
                <w:sz w:val="22"/>
                <w:lang w:eastAsia="en-GB"/>
              </w:rPr>
            </w:pPr>
            <w:r>
              <w:rPr>
                <w:rFonts w:cs="Arial"/>
                <w:sz w:val="22"/>
                <w:lang w:eastAsia="en-GB"/>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F39C57" w14:textId="3D4992A8" w:rsidR="00885FBB" w:rsidRDefault="00885FBB" w:rsidP="00703DF5">
            <w:pPr>
              <w:rPr>
                <w:rFonts w:cs="Arial"/>
                <w:sz w:val="22"/>
                <w:lang w:eastAsia="en-GB"/>
              </w:rPr>
            </w:pPr>
          </w:p>
        </w:tc>
      </w:tr>
      <w:tr w:rsidR="00885FBB" w14:paraId="7ED1A207" w14:textId="77777777" w:rsidTr="00703DF5">
        <w:trPr>
          <w:trHeight w:val="291"/>
        </w:trPr>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F3B7F" w14:textId="4A3DC0F5" w:rsidR="00885FBB" w:rsidRDefault="00885FBB" w:rsidP="00703DF5">
            <w:pPr>
              <w:rPr>
                <w:rFonts w:cs="Arial"/>
                <w:sz w:val="22"/>
                <w:lang w:eastAsia="en-GB"/>
              </w:rPr>
            </w:pPr>
            <w:r>
              <w:rPr>
                <w:rFonts w:cs="Arial"/>
                <w:sz w:val="22"/>
                <w:lang w:eastAsia="en-GB"/>
              </w:rPr>
              <w:t>2.2</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A39E6" w14:textId="1E83FCC7" w:rsidR="00885FBB" w:rsidRDefault="00885FBB" w:rsidP="00703DF5">
            <w:pPr>
              <w:rPr>
                <w:rFonts w:cs="Arial"/>
                <w:sz w:val="22"/>
                <w:lang w:eastAsia="en-GB"/>
              </w:rPr>
            </w:pPr>
            <w:r>
              <w:rPr>
                <w:rFonts w:cs="Arial"/>
                <w:sz w:val="22"/>
                <w:lang w:eastAsia="en-GB"/>
              </w:rPr>
              <w:t>GDPR Compliance update – Datasets</w:t>
            </w:r>
          </w:p>
        </w:tc>
        <w:tc>
          <w:tcPr>
            <w:tcW w:w="2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C0054" w14:textId="48852CF8" w:rsidR="00885FBB" w:rsidRDefault="00885FBB" w:rsidP="00703DF5">
            <w:pPr>
              <w:rPr>
                <w:rFonts w:cs="Arial"/>
                <w:sz w:val="22"/>
                <w:lang w:eastAsia="en-GB"/>
              </w:rPr>
            </w:pPr>
            <w:r>
              <w:rPr>
                <w:rFonts w:cs="Arial"/>
                <w:sz w:val="22"/>
                <w:lang w:eastAsia="en-GB"/>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54CD7" w14:textId="3F5CF0EE" w:rsidR="00885FBB" w:rsidRDefault="00885FBB" w:rsidP="00703DF5">
            <w:pPr>
              <w:rPr>
                <w:rFonts w:cs="Arial"/>
                <w:sz w:val="22"/>
                <w:lang w:eastAsia="en-GB"/>
              </w:rPr>
            </w:pPr>
            <w:r>
              <w:rPr>
                <w:rFonts w:cs="Arial"/>
                <w:sz w:val="22"/>
                <w:lang w:eastAsia="en-GB"/>
              </w:rPr>
              <w:t>12/2019</w:t>
            </w:r>
          </w:p>
        </w:tc>
      </w:tr>
      <w:tr w:rsidR="00885FBB" w14:paraId="628319CF" w14:textId="77777777" w:rsidTr="00703DF5">
        <w:trPr>
          <w:trHeight w:val="291"/>
        </w:trPr>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B2956F" w14:textId="1485A327" w:rsidR="00885FBB" w:rsidRDefault="00885FBB" w:rsidP="00703DF5">
            <w:pPr>
              <w:rPr>
                <w:rFonts w:cs="Arial"/>
                <w:sz w:val="22"/>
                <w:lang w:eastAsia="en-GB"/>
              </w:rPr>
            </w:pPr>
            <w:r>
              <w:rPr>
                <w:rFonts w:cs="Arial"/>
                <w:sz w:val="22"/>
                <w:lang w:eastAsia="en-GB"/>
              </w:rPr>
              <w:t>2.3</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BB969" w14:textId="3DD9D5A3" w:rsidR="00885FBB" w:rsidRDefault="002B2E69" w:rsidP="00703DF5">
            <w:pPr>
              <w:rPr>
                <w:rFonts w:cs="Arial"/>
                <w:sz w:val="22"/>
                <w:lang w:eastAsia="en-GB"/>
              </w:rPr>
            </w:pPr>
            <w:r>
              <w:rPr>
                <w:rFonts w:cs="Arial"/>
                <w:sz w:val="22"/>
                <w:lang w:eastAsia="en-GB"/>
              </w:rPr>
              <w:t>Accessibility</w:t>
            </w:r>
            <w:r w:rsidR="00885FBB">
              <w:rPr>
                <w:rFonts w:cs="Arial"/>
                <w:sz w:val="22"/>
                <w:lang w:eastAsia="en-GB"/>
              </w:rPr>
              <w:t xml:space="preserve"> Update</w:t>
            </w:r>
          </w:p>
        </w:tc>
        <w:tc>
          <w:tcPr>
            <w:tcW w:w="2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A4D52C" w14:textId="7F157914" w:rsidR="00885FBB" w:rsidRDefault="00885FBB" w:rsidP="00703DF5">
            <w:pPr>
              <w:rPr>
                <w:rFonts w:cs="Arial"/>
                <w:sz w:val="22"/>
                <w:lang w:eastAsia="en-GB"/>
              </w:rPr>
            </w:pPr>
            <w:r>
              <w:rPr>
                <w:rFonts w:cs="Arial"/>
                <w:sz w:val="22"/>
                <w:lang w:eastAsia="en-GB"/>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92E5B5" w14:textId="620D586D" w:rsidR="00885FBB" w:rsidRDefault="00B502FB" w:rsidP="00703DF5">
            <w:pPr>
              <w:rPr>
                <w:rFonts w:cs="Arial"/>
                <w:sz w:val="22"/>
                <w:lang w:eastAsia="en-GB"/>
              </w:rPr>
            </w:pPr>
            <w:r>
              <w:rPr>
                <w:rFonts w:cs="Arial"/>
                <w:sz w:val="22"/>
                <w:lang w:eastAsia="en-GB"/>
              </w:rPr>
              <w:t>09/2020</w:t>
            </w:r>
          </w:p>
        </w:tc>
      </w:tr>
      <w:tr w:rsidR="00B502FB" w14:paraId="41285AE7" w14:textId="77777777" w:rsidTr="00703DF5">
        <w:trPr>
          <w:trHeight w:val="291"/>
        </w:trPr>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0B306" w14:textId="7371665E" w:rsidR="00B502FB" w:rsidRDefault="00B502FB" w:rsidP="00703DF5">
            <w:pPr>
              <w:rPr>
                <w:rFonts w:cs="Arial"/>
                <w:sz w:val="22"/>
                <w:lang w:eastAsia="en-GB"/>
              </w:rPr>
            </w:pPr>
            <w:r>
              <w:rPr>
                <w:rFonts w:cs="Arial"/>
                <w:sz w:val="22"/>
                <w:lang w:eastAsia="en-GB"/>
              </w:rPr>
              <w:t>3.1</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C0B6D6" w14:textId="01668BA3" w:rsidR="00B502FB" w:rsidRDefault="00B502FB" w:rsidP="00703DF5">
            <w:pPr>
              <w:rPr>
                <w:rFonts w:cs="Arial"/>
                <w:sz w:val="22"/>
                <w:lang w:eastAsia="en-GB"/>
              </w:rPr>
            </w:pPr>
            <w:r>
              <w:rPr>
                <w:rFonts w:cs="Arial"/>
                <w:sz w:val="22"/>
                <w:lang w:eastAsia="en-GB"/>
              </w:rPr>
              <w:t>UK GDPR and Brexit</w:t>
            </w:r>
          </w:p>
        </w:tc>
        <w:tc>
          <w:tcPr>
            <w:tcW w:w="2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32F86C" w14:textId="79719832" w:rsidR="00B502FB" w:rsidRDefault="00B502FB" w:rsidP="00703DF5">
            <w:pPr>
              <w:rPr>
                <w:rFonts w:cs="Arial"/>
                <w:sz w:val="22"/>
                <w:lang w:eastAsia="en-GB"/>
              </w:rPr>
            </w:pPr>
            <w:r>
              <w:rPr>
                <w:rFonts w:cs="Arial"/>
                <w:sz w:val="22"/>
                <w:lang w:eastAsia="en-GB"/>
              </w:rPr>
              <w:t>ISG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71286A" w14:textId="0DC57073" w:rsidR="00B502FB" w:rsidRDefault="00B502FB" w:rsidP="00703DF5">
            <w:pPr>
              <w:rPr>
                <w:rFonts w:cs="Arial"/>
                <w:sz w:val="22"/>
                <w:lang w:eastAsia="en-GB"/>
              </w:rPr>
            </w:pPr>
            <w:r>
              <w:rPr>
                <w:rFonts w:cs="Arial"/>
                <w:sz w:val="22"/>
                <w:lang w:eastAsia="en-GB"/>
              </w:rPr>
              <w:t>09/2022</w:t>
            </w:r>
          </w:p>
        </w:tc>
      </w:tr>
    </w:tbl>
    <w:p w14:paraId="53EA0AF0" w14:textId="77777777" w:rsidR="000D23AF" w:rsidRDefault="000D23AF"/>
    <w:p w14:paraId="5DA6AE8E" w14:textId="77777777" w:rsidR="00885FBB" w:rsidRDefault="00885FBB" w:rsidP="00351BCA">
      <w:pPr>
        <w:pStyle w:val="Heading1"/>
      </w:pPr>
    </w:p>
    <w:p w14:paraId="54B279D8" w14:textId="51CA6C39" w:rsidR="00C625B0" w:rsidRDefault="000D23AF" w:rsidP="00351BCA">
      <w:pPr>
        <w:pStyle w:val="Heading1"/>
      </w:pPr>
      <w:bookmarkStart w:id="17" w:name="_Toc117516876"/>
      <w:proofErr w:type="spellStart"/>
      <w:r w:rsidRPr="000D23AF">
        <w:t>Endmatter</w:t>
      </w:r>
      <w:bookmarkEnd w:id="17"/>
      <w:proofErr w:type="spellEnd"/>
    </w:p>
    <w:p w14:paraId="5DF93972" w14:textId="77777777" w:rsidR="006A5B50" w:rsidRPr="006A5B50" w:rsidRDefault="006A5B50" w:rsidP="006A5B50"/>
    <w:tbl>
      <w:tblPr>
        <w:tblStyle w:val="TableGrid"/>
        <w:tblW w:w="0" w:type="auto"/>
        <w:tblLook w:val="04A0" w:firstRow="1" w:lastRow="0" w:firstColumn="1" w:lastColumn="0" w:noHBand="0" w:noVBand="1"/>
      </w:tblPr>
      <w:tblGrid>
        <w:gridCol w:w="2754"/>
        <w:gridCol w:w="6262"/>
      </w:tblGrid>
      <w:tr w:rsidR="000D23AF" w14:paraId="79D896FD" w14:textId="77777777" w:rsidTr="00CD21FA">
        <w:trPr>
          <w:tblHeader/>
        </w:trPr>
        <w:tc>
          <w:tcPr>
            <w:tcW w:w="2808" w:type="dxa"/>
          </w:tcPr>
          <w:p w14:paraId="3D1DAC6C" w14:textId="77777777" w:rsidR="000D23AF" w:rsidRDefault="000D23AF" w:rsidP="0002664D">
            <w:r>
              <w:t>Title</w:t>
            </w:r>
          </w:p>
        </w:tc>
        <w:tc>
          <w:tcPr>
            <w:tcW w:w="6434" w:type="dxa"/>
          </w:tcPr>
          <w:p w14:paraId="366C7531" w14:textId="5F794127" w:rsidR="000D23AF" w:rsidRDefault="002B2E69" w:rsidP="0002664D">
            <w:r>
              <w:t>Freedom of Information Policy</w:t>
            </w:r>
          </w:p>
        </w:tc>
      </w:tr>
      <w:tr w:rsidR="000D23AF" w14:paraId="2F281DDB" w14:textId="77777777" w:rsidTr="00CD21FA">
        <w:trPr>
          <w:tblHeader/>
        </w:trPr>
        <w:tc>
          <w:tcPr>
            <w:tcW w:w="2808" w:type="dxa"/>
          </w:tcPr>
          <w:p w14:paraId="05255EFA" w14:textId="77777777" w:rsidR="000D23AF" w:rsidRDefault="00683E10" w:rsidP="0002664D">
            <w:r>
              <w:t xml:space="preserve">Policy </w:t>
            </w:r>
            <w:r w:rsidR="000D23AF">
              <w:t>Owner</w:t>
            </w:r>
          </w:p>
        </w:tc>
        <w:tc>
          <w:tcPr>
            <w:tcW w:w="6434" w:type="dxa"/>
          </w:tcPr>
          <w:p w14:paraId="05B94210" w14:textId="43A127BB" w:rsidR="000D23AF" w:rsidRDefault="002B2E69" w:rsidP="0002664D">
            <w:r>
              <w:t>Data Protection Officer</w:t>
            </w:r>
          </w:p>
        </w:tc>
      </w:tr>
      <w:tr w:rsidR="000D23AF" w14:paraId="400D98A3" w14:textId="77777777" w:rsidTr="00CD21FA">
        <w:trPr>
          <w:tblHeader/>
        </w:trPr>
        <w:tc>
          <w:tcPr>
            <w:tcW w:w="2808" w:type="dxa"/>
          </w:tcPr>
          <w:p w14:paraId="310E1D52" w14:textId="77777777" w:rsidR="000D23AF" w:rsidRDefault="000D23AF" w:rsidP="0002664D">
            <w:r>
              <w:t>Approved by</w:t>
            </w:r>
          </w:p>
        </w:tc>
        <w:tc>
          <w:tcPr>
            <w:tcW w:w="6434" w:type="dxa"/>
          </w:tcPr>
          <w:p w14:paraId="0587A690" w14:textId="786E453E" w:rsidR="000D23AF" w:rsidRDefault="002B2E69" w:rsidP="0002664D">
            <w:r>
              <w:t>ISG</w:t>
            </w:r>
          </w:p>
        </w:tc>
      </w:tr>
      <w:tr w:rsidR="000D23AF" w14:paraId="1E48E041" w14:textId="77777777" w:rsidTr="00CD21FA">
        <w:trPr>
          <w:tblHeader/>
        </w:trPr>
        <w:tc>
          <w:tcPr>
            <w:tcW w:w="2808" w:type="dxa"/>
          </w:tcPr>
          <w:p w14:paraId="64A57323" w14:textId="77777777" w:rsidR="000D23AF" w:rsidRDefault="000D23AF" w:rsidP="00683E10">
            <w:r>
              <w:t xml:space="preserve">Date of </w:t>
            </w:r>
            <w:r w:rsidR="00683E10">
              <w:t>Approval</w:t>
            </w:r>
          </w:p>
        </w:tc>
        <w:tc>
          <w:tcPr>
            <w:tcW w:w="6434" w:type="dxa"/>
          </w:tcPr>
          <w:p w14:paraId="3A3F0252" w14:textId="7D9D71A6" w:rsidR="000D23AF" w:rsidRDefault="002B2E69" w:rsidP="0002664D">
            <w:r>
              <w:t>September 2022</w:t>
            </w:r>
          </w:p>
        </w:tc>
      </w:tr>
      <w:tr w:rsidR="000D23AF" w14:paraId="05E14ED8" w14:textId="77777777" w:rsidTr="00CD21FA">
        <w:trPr>
          <w:tblHeader/>
        </w:trPr>
        <w:tc>
          <w:tcPr>
            <w:tcW w:w="2808" w:type="dxa"/>
          </w:tcPr>
          <w:p w14:paraId="6CCFD6A2" w14:textId="77777777" w:rsidR="000D23AF" w:rsidRDefault="000D23AF" w:rsidP="0002664D">
            <w:r>
              <w:t xml:space="preserve">Date for Review </w:t>
            </w:r>
          </w:p>
        </w:tc>
        <w:tc>
          <w:tcPr>
            <w:tcW w:w="6434" w:type="dxa"/>
          </w:tcPr>
          <w:p w14:paraId="7C69E774" w14:textId="69F0B57B" w:rsidR="000D23AF" w:rsidRDefault="002B2E69" w:rsidP="0002664D">
            <w:r>
              <w:t>September 2024</w:t>
            </w:r>
          </w:p>
        </w:tc>
      </w:tr>
    </w:tbl>
    <w:p w14:paraId="2F9A7821" w14:textId="77777777" w:rsidR="00C625B0" w:rsidRDefault="00C625B0" w:rsidP="006A5B50"/>
    <w:sectPr w:rsidR="00C625B0" w:rsidSect="006A5B50">
      <w:footerReference w:type="default" r:id="rId13"/>
      <w:footerReference w:type="first" r:id="rId14"/>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E4F08" w14:textId="77777777" w:rsidR="006A5B50" w:rsidRDefault="006A5B50" w:rsidP="006A5B50">
      <w:pPr>
        <w:spacing w:after="0" w:line="240" w:lineRule="auto"/>
      </w:pPr>
      <w:r>
        <w:separator/>
      </w:r>
    </w:p>
  </w:endnote>
  <w:endnote w:type="continuationSeparator" w:id="0">
    <w:p w14:paraId="6960029D" w14:textId="77777777" w:rsidR="006A5B50" w:rsidRDefault="006A5B50"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15958"/>
      <w:docPartObj>
        <w:docPartGallery w:val="Page Numbers (Bottom of Page)"/>
        <w:docPartUnique/>
      </w:docPartObj>
    </w:sdtPr>
    <w:sdtEndPr>
      <w:rPr>
        <w:noProof/>
      </w:rPr>
    </w:sdtEndPr>
    <w:sdtContent>
      <w:p w14:paraId="7D4C6955" w14:textId="77777777" w:rsidR="007F06C7" w:rsidRDefault="007F06C7">
        <w:pPr>
          <w:pStyle w:val="Footer"/>
          <w:jc w:val="center"/>
        </w:pPr>
        <w:r>
          <w:fldChar w:fldCharType="begin"/>
        </w:r>
        <w:r>
          <w:instrText xml:space="preserve"> PAGE   \* MERGEFORMAT </w:instrText>
        </w:r>
        <w:r>
          <w:fldChar w:fldCharType="separate"/>
        </w:r>
        <w:r w:rsidR="00683E10">
          <w:rPr>
            <w:noProof/>
          </w:rPr>
          <w:t>4</w:t>
        </w:r>
        <w:r>
          <w:rPr>
            <w:noProof/>
          </w:rPr>
          <w:fldChar w:fldCharType="end"/>
        </w:r>
      </w:p>
    </w:sdtContent>
  </w:sdt>
  <w:p w14:paraId="7771D5CA"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9A3E"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3B81F95D" wp14:editId="5A463F63">
          <wp:extent cx="1832968" cy="238249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40F8" w14:textId="77777777" w:rsidR="006A5B50" w:rsidRDefault="006A5B50" w:rsidP="006A5B50">
      <w:pPr>
        <w:spacing w:after="0" w:line="240" w:lineRule="auto"/>
      </w:pPr>
      <w:r>
        <w:separator/>
      </w:r>
    </w:p>
  </w:footnote>
  <w:footnote w:type="continuationSeparator" w:id="0">
    <w:p w14:paraId="7897F03D" w14:textId="77777777" w:rsidR="006A5B50" w:rsidRDefault="006A5B50" w:rsidP="006A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A7A64"/>
    <w:multiLevelType w:val="hybridMultilevel"/>
    <w:tmpl w:val="5AB0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662190">
    <w:abstractNumId w:val="0"/>
  </w:num>
  <w:num w:numId="2" w16cid:durableId="4089260">
    <w:abstractNumId w:val="2"/>
  </w:num>
  <w:num w:numId="3" w16cid:durableId="1799837335">
    <w:abstractNumId w:val="3"/>
  </w:num>
  <w:num w:numId="4" w16cid:durableId="67947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D23AF"/>
    <w:rsid w:val="000F3143"/>
    <w:rsid w:val="00207C65"/>
    <w:rsid w:val="0027502C"/>
    <w:rsid w:val="002B2E69"/>
    <w:rsid w:val="00351BCA"/>
    <w:rsid w:val="005C4DFD"/>
    <w:rsid w:val="005E0FC3"/>
    <w:rsid w:val="00683E10"/>
    <w:rsid w:val="006A5B50"/>
    <w:rsid w:val="00722685"/>
    <w:rsid w:val="00745DC4"/>
    <w:rsid w:val="007F06C7"/>
    <w:rsid w:val="00860D62"/>
    <w:rsid w:val="00885FBB"/>
    <w:rsid w:val="00971F84"/>
    <w:rsid w:val="00A73C4D"/>
    <w:rsid w:val="00B502FB"/>
    <w:rsid w:val="00B86B25"/>
    <w:rsid w:val="00C2739B"/>
    <w:rsid w:val="00C625B0"/>
    <w:rsid w:val="00CD21FA"/>
    <w:rsid w:val="00CF75EE"/>
    <w:rsid w:val="00D84C7A"/>
    <w:rsid w:val="00D872A1"/>
    <w:rsid w:val="00E21F75"/>
    <w:rsid w:val="00E676EF"/>
    <w:rsid w:val="00F40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59E1DD"/>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table" w:styleId="GridTable1Light">
    <w:name w:val="Grid Table 1 Light"/>
    <w:basedOn w:val="TableNormal"/>
    <w:uiPriority w:val="46"/>
    <w:rsid w:val="00885FBB"/>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885FBB"/>
    <w:pPr>
      <w:spacing w:after="0" w:line="240" w:lineRule="auto"/>
    </w:pPr>
    <w:rPr>
      <w:rFonts w:ascii="Times New Roman" w:eastAsia="Times New Roman" w:hAnsi="Times New Roman"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1staffshare1\staffshare1\Working%20Documents\Nicole%20Hughes\Documents\foi@edgehil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1staffshare1\staffshare1\Working%20Documents\Nicole%20Hughes\Documents\dataprotection@edgehil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7F2EFE2C244E4E98DB2E9FDCEFDB15" ma:contentTypeVersion="10" ma:contentTypeDescription="Create a new document." ma:contentTypeScope="" ma:versionID="0b996a23deafdfe2ccd3d0ff11cf6aa4">
  <xsd:schema xmlns:xsd="http://www.w3.org/2001/XMLSchema" xmlns:xs="http://www.w3.org/2001/XMLSchema" xmlns:p="http://schemas.microsoft.com/office/2006/metadata/properties" xmlns:ns3="9a03c9cb-2082-490d-9cae-890e53043551" xmlns:ns4="861c559b-f7a2-4957-b33d-2544bce51ea4" targetNamespace="http://schemas.microsoft.com/office/2006/metadata/properties" ma:root="true" ma:fieldsID="8baf004bbf80f4a664fcc974214d61e7" ns3:_="" ns4:_="">
    <xsd:import namespace="9a03c9cb-2082-490d-9cae-890e53043551"/>
    <xsd:import namespace="861c559b-f7a2-4957-b33d-2544bce51ea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c9cb-2082-490d-9cae-890e530435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c559b-f7a2-4957-b33d-2544bce51ea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6D3BB-8C60-46B7-AE0B-70F7928A728D}">
  <ds:schemaRefs>
    <ds:schemaRef ds:uri="http://schemas.microsoft.com/sharepoint/v3/contenttype/forms"/>
  </ds:schemaRefs>
</ds:datastoreItem>
</file>

<file path=customXml/itemProps2.xml><?xml version="1.0" encoding="utf-8"?>
<ds:datastoreItem xmlns:ds="http://schemas.openxmlformats.org/officeDocument/2006/customXml" ds:itemID="{6322DB90-37EF-4159-981E-E700EFB79152}">
  <ds:schemaRefs>
    <ds:schemaRef ds:uri="http://schemas.microsoft.com/office/2006/metadata/properties"/>
    <ds:schemaRef ds:uri="http://purl.org/dc/dcmitype/"/>
    <ds:schemaRef ds:uri="861c559b-f7a2-4957-b33d-2544bce51ea4"/>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a03c9cb-2082-490d-9cae-890e53043551"/>
    <ds:schemaRef ds:uri="http://www.w3.org/XML/1998/namespace"/>
  </ds:schemaRefs>
</ds:datastoreItem>
</file>

<file path=customXml/itemProps3.xml><?xml version="1.0" encoding="utf-8"?>
<ds:datastoreItem xmlns:ds="http://schemas.openxmlformats.org/officeDocument/2006/customXml" ds:itemID="{6724AA94-D029-46FB-9FDE-F534CB866EC3}">
  <ds:schemaRefs>
    <ds:schemaRef ds:uri="http://schemas.openxmlformats.org/officeDocument/2006/bibliography"/>
  </ds:schemaRefs>
</ds:datastoreItem>
</file>

<file path=customXml/itemProps4.xml><?xml version="1.0" encoding="utf-8"?>
<ds:datastoreItem xmlns:ds="http://schemas.openxmlformats.org/officeDocument/2006/customXml" ds:itemID="{6C53FBEB-3320-4225-9794-1C3A12827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c9cb-2082-490d-9cae-890e53043551"/>
    <ds:schemaRef ds:uri="861c559b-f7a2-4957-b33d-2544bce51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Cobain</dc:creator>
  <cp:keywords/>
  <dc:description/>
  <cp:lastModifiedBy>Richard Rogers</cp:lastModifiedBy>
  <cp:revision>6</cp:revision>
  <cp:lastPrinted>2023-02-08T11:08:00Z</cp:lastPrinted>
  <dcterms:created xsi:type="dcterms:W3CDTF">2022-10-24T14:14:00Z</dcterms:created>
  <dcterms:modified xsi:type="dcterms:W3CDTF">2024-07-26T10:28:00Z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0x010100157F2EFE2C244E4E98DB2E9FDCEFDB15</vt:lpwstr>
  </property>
</Properties>
</file>