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5573399"/>
        <w:docPartObj>
          <w:docPartGallery w:val="Cover Pages"/>
          <w:docPartUnique/>
        </w:docPartObj>
      </w:sdtPr>
      <w:sdtEndPr/>
      <w:sdtContent>
        <w:p w14:paraId="2A669B6D" w14:textId="4B9C48BA" w:rsidR="00840176" w:rsidRDefault="00B675B7" w:rsidP="00A5704C">
          <w:r>
            <w:rPr>
              <w:noProof/>
            </w:rPr>
            <mc:AlternateContent>
              <mc:Choice Requires="wpg">
                <w:drawing>
                  <wp:anchor distT="0" distB="0" distL="114300" distR="114300" simplePos="0" relativeHeight="251617280" behindDoc="1" locked="0" layoutInCell="1" allowOverlap="1" wp14:anchorId="3B05CBE4" wp14:editId="4CF08743">
                    <wp:simplePos x="0" y="0"/>
                    <wp:positionH relativeFrom="page">
                      <wp:posOffset>352425</wp:posOffset>
                    </wp:positionH>
                    <wp:positionV relativeFrom="page">
                      <wp:posOffset>271464</wp:posOffset>
                    </wp:positionV>
                    <wp:extent cx="6858189" cy="9933621"/>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189" cy="9933621"/>
                              <a:chOff x="0" y="-1043078"/>
                              <a:chExt cx="6858189" cy="10166606"/>
                            </a:xfrm>
                            <a:solidFill>
                              <a:srgbClr val="35975A"/>
                            </a:solidFill>
                          </wpg:grpSpPr>
                          <wps:wsp>
                            <wps:cNvPr id="194" name="Rectangle 194">
                              <a:extLst>
                                <a:ext uri="{C183D7F6-B498-43B3-948B-1728B52AA6E4}">
                                  <adec:decorative xmlns:adec="http://schemas.microsoft.com/office/drawing/2017/decorative" val="1"/>
                                </a:ext>
                              </a:extLst>
                            </wps:cNvPr>
                            <wps:cNvSpPr/>
                            <wps:spPr>
                              <a:xfrm>
                                <a:off x="0" y="-1043078"/>
                                <a:ext cx="6858000" cy="2414629"/>
                              </a:xfrm>
                              <a:prstGeom prst="rect">
                                <a:avLst/>
                              </a:prstGeom>
                              <a:solidFill>
                                <a:srgbClr val="359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4772B" w14:textId="77777777" w:rsidR="004E0820" w:rsidRDefault="004E0820" w:rsidP="007619FF">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0D0F8" w14:textId="77777777" w:rsidR="004E0820" w:rsidRDefault="004E0820">
                                  <w:pPr>
                                    <w:pStyle w:val="NoSpacing"/>
                                    <w:spacing w:before="120"/>
                                    <w:jc w:val="center"/>
                                    <w:rPr>
                                      <w:color w:val="FFFFFF" w:themeColor="background1"/>
                                    </w:rPr>
                                  </w:pPr>
                                </w:p>
                                <w:p w14:paraId="3B1DA504" w14:textId="56CE57B5" w:rsidR="004E0820" w:rsidRPr="00C4184C" w:rsidRDefault="007B6267">
                                  <w:pPr>
                                    <w:pStyle w:val="NoSpacing"/>
                                    <w:spacing w:before="120"/>
                                    <w:jc w:val="center"/>
                                    <w:rPr>
                                      <w:color w:val="FFFFFF" w:themeColor="background1"/>
                                      <w:sz w:val="28"/>
                                      <w:szCs w:val="28"/>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E0820">
                                        <w:rPr>
                                          <w:caps/>
                                          <w:color w:val="FFFFFF" w:themeColor="background1"/>
                                        </w:rPr>
                                        <w:t xml:space="preserve">     </w:t>
                                      </w:r>
                                    </w:sdtContent>
                                  </w:sdt>
                                  <w:r w:rsidR="004E0820">
                                    <w:rPr>
                                      <w:color w:val="FFFFFF" w:themeColor="background1"/>
                                    </w:rPr>
                                    <w:t>  </w:t>
                                  </w:r>
                                  <w:r w:rsidR="004E0820" w:rsidRPr="00C4184C">
                                    <w:rPr>
                                      <w:rFonts w:ascii="Calibri" w:hAnsi="Calibri" w:cs="Calibri"/>
                                      <w:b/>
                                      <w:color w:val="FFFFFF" w:themeColor="background1"/>
                                      <w:sz w:val="28"/>
                                      <w:szCs w:val="28"/>
                                    </w:rPr>
                                    <w:t>Updated October 20</w:t>
                                  </w:r>
                                  <w:r w:rsidR="004E0820">
                                    <w:rPr>
                                      <w:rFonts w:ascii="Calibri" w:hAnsi="Calibri" w:cs="Calibri"/>
                                      <w:b/>
                                      <w:color w:val="FFFFFF" w:themeColor="background1"/>
                                      <w:sz w:val="28"/>
                                      <w:szCs w:val="28"/>
                                    </w:rPr>
                                    <w:t>2</w:t>
                                  </w:r>
                                  <w:r w:rsidR="00C45B4F">
                                    <w:rPr>
                                      <w:rFonts w:ascii="Calibri" w:hAnsi="Calibri" w:cs="Calibri"/>
                                      <w:b/>
                                      <w:color w:val="FFFFFF" w:themeColor="background1"/>
                                      <w:sz w:val="28"/>
                                      <w:szCs w:val="28"/>
                                    </w:rPr>
                                    <w:t>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89" y="1346868"/>
                                <a:ext cx="6858000" cy="357565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E285" w14:textId="77777777" w:rsidR="004E0820" w:rsidRDefault="004E0820" w:rsidP="002C1748">
                                  <w:pPr>
                                    <w:pStyle w:val="Title"/>
                                    <w:jc w:val="center"/>
                                  </w:pPr>
                                </w:p>
                                <w:p w14:paraId="574F5578" w14:textId="29822CBC" w:rsidR="004E0820" w:rsidRDefault="004E0820" w:rsidP="002C1748">
                                  <w:pPr>
                                    <w:pStyle w:val="Title"/>
                                    <w:jc w:val="center"/>
                                  </w:pPr>
                                  <w:r>
                                    <w:t>Chapter 1</w:t>
                                  </w:r>
                                </w:p>
                                <w:p w14:paraId="4935E0E5" w14:textId="77777777" w:rsidR="004E0820" w:rsidRDefault="004E0820" w:rsidP="002C1748">
                                  <w:pPr>
                                    <w:pStyle w:val="Title"/>
                                    <w:jc w:val="center"/>
                                  </w:pPr>
                                  <w:r>
                                    <w:t xml:space="preserve">The Quality Strategy: Management of Quality </w:t>
                                  </w:r>
                                </w:p>
                                <w:p w14:paraId="198EAF8B" w14:textId="6BE4F272" w:rsidR="004E0820" w:rsidRPr="002C1748" w:rsidRDefault="004E0820" w:rsidP="002C1748">
                                  <w:pPr>
                                    <w:pStyle w:val="Title"/>
                                    <w:jc w:val="center"/>
                                  </w:pPr>
                                  <w:r>
                                    <w:t>and Standards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05CBE4" id="Group 193" o:spid="_x0000_s1026" alt="&quot;&quot;" style="position:absolute;margin-left:27.75pt;margin-top:21.4pt;width:540pt;height:782.15pt;z-index:-251699200;mso-position-horizontal-relative:page;mso-position-vertical-relative:page" coordorigin=",-10430" coordsize="68581,10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">
                    <v:rect id="Rectangle 194" o:spid="_x0000_s1027" alt="&quot;&quot;" style="position:absolute;top:-10430;width:68580;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" fillcolor="#35975a" stroked="f" strokeweight="1pt">
                      <v:textbox>
                        <w:txbxContent>
                          <w:p w14:paraId="68C4772B" w14:textId="77777777" w:rsidR="004E0820" w:rsidRDefault="004E0820" w:rsidP="007619FF">
                            <w:pPr>
                              <w:jc w:val="right"/>
                            </w:pP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filled="f" stroked="f" strokeweight="1pt">
                      <v:textbox inset="36pt,57.6pt,36pt,36pt">
                        <w:txbxContent>
                          <w:p w14:paraId="77C0D0F8" w14:textId="77777777" w:rsidR="004E0820" w:rsidRDefault="004E0820">
                            <w:pPr>
                              <w:pStyle w:val="NoSpacing"/>
                              <w:spacing w:before="120"/>
                              <w:jc w:val="center"/>
                              <w:rPr>
                                <w:color w:val="FFFFFF" w:themeColor="background1"/>
                              </w:rPr>
                            </w:pPr>
                          </w:p>
                          <w:p w14:paraId="3B1DA504" w14:textId="56CE57B5" w:rsidR="004E0820" w:rsidRPr="00C4184C" w:rsidRDefault="007B6267">
                            <w:pPr>
                              <w:pStyle w:val="NoSpacing"/>
                              <w:spacing w:before="120"/>
                              <w:jc w:val="center"/>
                              <w:rPr>
                                <w:color w:val="FFFFFF" w:themeColor="background1"/>
                                <w:sz w:val="28"/>
                                <w:szCs w:val="28"/>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E0820">
                                  <w:rPr>
                                    <w:caps/>
                                    <w:color w:val="FFFFFF" w:themeColor="background1"/>
                                  </w:rPr>
                                  <w:t xml:space="preserve">     </w:t>
                                </w:r>
                              </w:sdtContent>
                            </w:sdt>
                            <w:r w:rsidR="004E0820">
                              <w:rPr>
                                <w:color w:val="FFFFFF" w:themeColor="background1"/>
                              </w:rPr>
                              <w:t>  </w:t>
                            </w:r>
                            <w:r w:rsidR="004E0820" w:rsidRPr="00C4184C">
                              <w:rPr>
                                <w:rFonts w:ascii="Calibri" w:hAnsi="Calibri" w:cs="Calibri"/>
                                <w:b/>
                                <w:color w:val="FFFFFF" w:themeColor="background1"/>
                                <w:sz w:val="28"/>
                                <w:szCs w:val="28"/>
                              </w:rPr>
                              <w:t>Updated October 20</w:t>
                            </w:r>
                            <w:r w:rsidR="004E0820">
                              <w:rPr>
                                <w:rFonts w:ascii="Calibri" w:hAnsi="Calibri" w:cs="Calibri"/>
                                <w:b/>
                                <w:color w:val="FFFFFF" w:themeColor="background1"/>
                                <w:sz w:val="28"/>
                                <w:szCs w:val="28"/>
                              </w:rPr>
                              <w:t>2</w:t>
                            </w:r>
                            <w:r w:rsidR="00C45B4F">
                              <w:rPr>
                                <w:rFonts w:ascii="Calibri" w:hAnsi="Calibri" w:cs="Calibri"/>
                                <w:b/>
                                <w:color w:val="FFFFFF" w:themeColor="background1"/>
                                <w:sz w:val="28"/>
                                <w:szCs w:val="28"/>
                              </w:rPr>
                              <w:t>3</w:t>
                            </w:r>
                          </w:p>
                        </w:txbxContent>
                      </v:textbox>
                    </v:rect>
                    <v:shapetype id="_x0000_t202" coordsize="21600,21600" o:spt="202" path="m,l,21600r21600,l21600,xe">
                      <v:stroke joinstyle="miter"/>
                      <v:path gradientshapeok="t" o:connecttype="rect"/>
                    </v:shapetype>
                    <v:shape id="Text Box 196" o:spid="_x0000_s1029" type="#_x0000_t202" style="position:absolute;left:1;top:13468;width:68580;height:35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01FAE285" w14:textId="77777777" w:rsidR="004E0820" w:rsidRDefault="004E0820" w:rsidP="002C1748">
                            <w:pPr>
                              <w:pStyle w:val="Title"/>
                              <w:jc w:val="center"/>
                            </w:pPr>
                          </w:p>
                          <w:p w14:paraId="574F5578" w14:textId="29822CBC" w:rsidR="004E0820" w:rsidRDefault="004E0820" w:rsidP="002C1748">
                            <w:pPr>
                              <w:pStyle w:val="Title"/>
                              <w:jc w:val="center"/>
                            </w:pPr>
                            <w:r>
                              <w:t>Chapter 1</w:t>
                            </w:r>
                          </w:p>
                          <w:p w14:paraId="4935E0E5" w14:textId="77777777" w:rsidR="004E0820" w:rsidRDefault="004E0820" w:rsidP="002C1748">
                            <w:pPr>
                              <w:pStyle w:val="Title"/>
                              <w:jc w:val="center"/>
                            </w:pPr>
                            <w:r>
                              <w:t xml:space="preserve">The Quality Strategy: Management of Quality </w:t>
                            </w:r>
                          </w:p>
                          <w:p w14:paraId="198EAF8B" w14:textId="6BE4F272" w:rsidR="004E0820" w:rsidRPr="002C1748" w:rsidRDefault="004E0820" w:rsidP="002C1748">
                            <w:pPr>
                              <w:pStyle w:val="Title"/>
                              <w:jc w:val="center"/>
                            </w:pPr>
                            <w:r>
                              <w:t>and Standards</w:t>
                            </w:r>
                          </w:p>
                        </w:txbxContent>
                      </v:textbox>
                    </v:shape>
                    <w10:wrap anchorx="page" anchory="page"/>
                  </v:group>
                </w:pict>
              </mc:Fallback>
            </mc:AlternateContent>
          </w:r>
        </w:p>
        <w:p w14:paraId="3D656197" w14:textId="20883823" w:rsidR="00840176" w:rsidRDefault="00840176" w:rsidP="00A5704C">
          <w:r>
            <w:br w:type="page"/>
          </w:r>
        </w:p>
      </w:sdtContent>
    </w:sdt>
    <w:sdt>
      <w:sdtPr>
        <w:rPr>
          <w:rFonts w:eastAsiaTheme="minorHAnsi" w:cstheme="minorBidi"/>
          <w:b w:val="0"/>
          <w:color w:val="auto"/>
          <w:sz w:val="24"/>
          <w:szCs w:val="22"/>
          <w:lang w:val="en-GB"/>
        </w:rPr>
        <w:id w:val="-2030710503"/>
        <w:docPartObj>
          <w:docPartGallery w:val="Table of Contents"/>
          <w:docPartUnique/>
        </w:docPartObj>
      </w:sdtPr>
      <w:sdtEndPr>
        <w:rPr>
          <w:bCs/>
          <w:noProof/>
        </w:rPr>
      </w:sdtEndPr>
      <w:sdtContent>
        <w:p w14:paraId="498E2D1E" w14:textId="50CF8056" w:rsidR="00914C1E" w:rsidRDefault="00914C1E">
          <w:pPr>
            <w:pStyle w:val="TOCHeading"/>
          </w:pPr>
          <w:r>
            <w:t>Contents</w:t>
          </w:r>
        </w:p>
        <w:p w14:paraId="70693D8B" w14:textId="05594883" w:rsidR="00780055" w:rsidRDefault="00914C1E">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46807839" w:history="1">
            <w:r w:rsidR="00780055" w:rsidRPr="008249F6">
              <w:rPr>
                <w:rStyle w:val="Hyperlink"/>
                <w:noProof/>
              </w:rPr>
              <w:t>SCOPE</w:t>
            </w:r>
            <w:r w:rsidR="00780055">
              <w:rPr>
                <w:noProof/>
                <w:webHidden/>
              </w:rPr>
              <w:tab/>
            </w:r>
            <w:r w:rsidR="00780055">
              <w:rPr>
                <w:noProof/>
                <w:webHidden/>
              </w:rPr>
              <w:fldChar w:fldCharType="begin"/>
            </w:r>
            <w:r w:rsidR="00780055">
              <w:rPr>
                <w:noProof/>
                <w:webHidden/>
              </w:rPr>
              <w:instrText xml:space="preserve"> PAGEREF _Toc146807839 \h </w:instrText>
            </w:r>
            <w:r w:rsidR="00780055">
              <w:rPr>
                <w:noProof/>
                <w:webHidden/>
              </w:rPr>
            </w:r>
            <w:r w:rsidR="00780055">
              <w:rPr>
                <w:noProof/>
                <w:webHidden/>
              </w:rPr>
              <w:fldChar w:fldCharType="separate"/>
            </w:r>
            <w:r w:rsidR="00F80EB3">
              <w:rPr>
                <w:noProof/>
                <w:webHidden/>
              </w:rPr>
              <w:t>3</w:t>
            </w:r>
            <w:r w:rsidR="00780055">
              <w:rPr>
                <w:noProof/>
                <w:webHidden/>
              </w:rPr>
              <w:fldChar w:fldCharType="end"/>
            </w:r>
          </w:hyperlink>
        </w:p>
        <w:p w14:paraId="106AEBA5" w14:textId="5FB3FDD5" w:rsidR="00780055" w:rsidRDefault="007B6267">
          <w:pPr>
            <w:pStyle w:val="TOC1"/>
            <w:rPr>
              <w:rFonts w:asciiTheme="minorHAnsi" w:eastAsiaTheme="minorEastAsia" w:hAnsiTheme="minorHAnsi"/>
              <w:noProof/>
              <w:kern w:val="2"/>
              <w:sz w:val="22"/>
              <w:lang w:eastAsia="en-GB"/>
              <w14:ligatures w14:val="standardContextual"/>
            </w:rPr>
          </w:pPr>
          <w:hyperlink w:anchor="_Toc146807840" w:history="1">
            <w:r w:rsidR="00780055" w:rsidRPr="008249F6">
              <w:rPr>
                <w:rStyle w:val="Hyperlink"/>
                <w:noProof/>
              </w:rPr>
              <w:t>PURPOSE</w:t>
            </w:r>
            <w:r w:rsidR="00780055">
              <w:rPr>
                <w:noProof/>
                <w:webHidden/>
              </w:rPr>
              <w:tab/>
            </w:r>
            <w:r w:rsidR="00780055">
              <w:rPr>
                <w:noProof/>
                <w:webHidden/>
              </w:rPr>
              <w:fldChar w:fldCharType="begin"/>
            </w:r>
            <w:r w:rsidR="00780055">
              <w:rPr>
                <w:noProof/>
                <w:webHidden/>
              </w:rPr>
              <w:instrText xml:space="preserve"> PAGEREF _Toc146807840 \h </w:instrText>
            </w:r>
            <w:r w:rsidR="00780055">
              <w:rPr>
                <w:noProof/>
                <w:webHidden/>
              </w:rPr>
            </w:r>
            <w:r w:rsidR="00780055">
              <w:rPr>
                <w:noProof/>
                <w:webHidden/>
              </w:rPr>
              <w:fldChar w:fldCharType="separate"/>
            </w:r>
            <w:r w:rsidR="00F80EB3">
              <w:rPr>
                <w:noProof/>
                <w:webHidden/>
              </w:rPr>
              <w:t>3</w:t>
            </w:r>
            <w:r w:rsidR="00780055">
              <w:rPr>
                <w:noProof/>
                <w:webHidden/>
              </w:rPr>
              <w:fldChar w:fldCharType="end"/>
            </w:r>
          </w:hyperlink>
        </w:p>
        <w:p w14:paraId="70DECD04" w14:textId="49655AC5" w:rsidR="00780055" w:rsidRDefault="007B6267">
          <w:pPr>
            <w:pStyle w:val="TOC1"/>
            <w:rPr>
              <w:rFonts w:asciiTheme="minorHAnsi" w:eastAsiaTheme="minorEastAsia" w:hAnsiTheme="minorHAnsi"/>
              <w:noProof/>
              <w:kern w:val="2"/>
              <w:sz w:val="22"/>
              <w:lang w:eastAsia="en-GB"/>
              <w14:ligatures w14:val="standardContextual"/>
            </w:rPr>
          </w:pPr>
          <w:hyperlink w:anchor="_Toc146807841" w:history="1">
            <w:r w:rsidR="00780055" w:rsidRPr="008249F6">
              <w:rPr>
                <w:rStyle w:val="Hyperlink"/>
                <w:noProof/>
              </w:rPr>
              <w:t>EXTERNAL REGULATORY ENVIRONMENT</w:t>
            </w:r>
            <w:r w:rsidR="00780055">
              <w:rPr>
                <w:noProof/>
                <w:webHidden/>
              </w:rPr>
              <w:tab/>
            </w:r>
            <w:r w:rsidR="00780055">
              <w:rPr>
                <w:noProof/>
                <w:webHidden/>
              </w:rPr>
              <w:fldChar w:fldCharType="begin"/>
            </w:r>
            <w:r w:rsidR="00780055">
              <w:rPr>
                <w:noProof/>
                <w:webHidden/>
              </w:rPr>
              <w:instrText xml:space="preserve"> PAGEREF _Toc146807841 \h </w:instrText>
            </w:r>
            <w:r w:rsidR="00780055">
              <w:rPr>
                <w:noProof/>
                <w:webHidden/>
              </w:rPr>
            </w:r>
            <w:r w:rsidR="00780055">
              <w:rPr>
                <w:noProof/>
                <w:webHidden/>
              </w:rPr>
              <w:fldChar w:fldCharType="separate"/>
            </w:r>
            <w:r w:rsidR="00F80EB3">
              <w:rPr>
                <w:noProof/>
                <w:webHidden/>
              </w:rPr>
              <w:t>3</w:t>
            </w:r>
            <w:r w:rsidR="00780055">
              <w:rPr>
                <w:noProof/>
                <w:webHidden/>
              </w:rPr>
              <w:fldChar w:fldCharType="end"/>
            </w:r>
          </w:hyperlink>
        </w:p>
        <w:p w14:paraId="2E6BF582" w14:textId="46A31033" w:rsidR="00780055" w:rsidRDefault="007B6267">
          <w:pPr>
            <w:pStyle w:val="TOC2"/>
            <w:rPr>
              <w:rFonts w:asciiTheme="minorHAnsi" w:eastAsiaTheme="minorEastAsia" w:hAnsiTheme="minorHAnsi"/>
              <w:noProof/>
              <w:kern w:val="2"/>
              <w:sz w:val="22"/>
              <w:lang w:eastAsia="en-GB"/>
              <w14:ligatures w14:val="standardContextual"/>
            </w:rPr>
          </w:pPr>
          <w:hyperlink w:anchor="_Toc146807842" w:history="1">
            <w:r w:rsidR="00780055" w:rsidRPr="008249F6">
              <w:rPr>
                <w:rStyle w:val="Hyperlink"/>
                <w:noProof/>
              </w:rPr>
              <w:t>The Office for Students</w:t>
            </w:r>
            <w:r w:rsidR="00780055">
              <w:rPr>
                <w:noProof/>
                <w:webHidden/>
              </w:rPr>
              <w:tab/>
            </w:r>
            <w:r w:rsidR="00780055">
              <w:rPr>
                <w:noProof/>
                <w:webHidden/>
              </w:rPr>
              <w:fldChar w:fldCharType="begin"/>
            </w:r>
            <w:r w:rsidR="00780055">
              <w:rPr>
                <w:noProof/>
                <w:webHidden/>
              </w:rPr>
              <w:instrText xml:space="preserve"> PAGEREF _Toc146807842 \h </w:instrText>
            </w:r>
            <w:r w:rsidR="00780055">
              <w:rPr>
                <w:noProof/>
                <w:webHidden/>
              </w:rPr>
            </w:r>
            <w:r w:rsidR="00780055">
              <w:rPr>
                <w:noProof/>
                <w:webHidden/>
              </w:rPr>
              <w:fldChar w:fldCharType="separate"/>
            </w:r>
            <w:r w:rsidR="00F80EB3">
              <w:rPr>
                <w:noProof/>
                <w:webHidden/>
              </w:rPr>
              <w:t>3</w:t>
            </w:r>
            <w:r w:rsidR="00780055">
              <w:rPr>
                <w:noProof/>
                <w:webHidden/>
              </w:rPr>
              <w:fldChar w:fldCharType="end"/>
            </w:r>
          </w:hyperlink>
        </w:p>
        <w:p w14:paraId="7EB65B28" w14:textId="75D25799" w:rsidR="00780055" w:rsidRDefault="007B6267">
          <w:pPr>
            <w:pStyle w:val="TOC2"/>
            <w:rPr>
              <w:rFonts w:asciiTheme="minorHAnsi" w:eastAsiaTheme="minorEastAsia" w:hAnsiTheme="minorHAnsi"/>
              <w:noProof/>
              <w:kern w:val="2"/>
              <w:sz w:val="22"/>
              <w:lang w:eastAsia="en-GB"/>
              <w14:ligatures w14:val="standardContextual"/>
            </w:rPr>
          </w:pPr>
          <w:hyperlink w:anchor="_Toc146807843" w:history="1">
            <w:r w:rsidR="00780055" w:rsidRPr="008249F6">
              <w:rPr>
                <w:rStyle w:val="Hyperlink"/>
                <w:noProof/>
              </w:rPr>
              <w:t>Teaching Excellence and Student Outcomes Framework</w:t>
            </w:r>
            <w:r w:rsidR="00780055">
              <w:rPr>
                <w:noProof/>
                <w:webHidden/>
              </w:rPr>
              <w:tab/>
            </w:r>
            <w:r w:rsidR="00780055">
              <w:rPr>
                <w:noProof/>
                <w:webHidden/>
              </w:rPr>
              <w:fldChar w:fldCharType="begin"/>
            </w:r>
            <w:r w:rsidR="00780055">
              <w:rPr>
                <w:noProof/>
                <w:webHidden/>
              </w:rPr>
              <w:instrText xml:space="preserve"> PAGEREF _Toc146807843 \h </w:instrText>
            </w:r>
            <w:r w:rsidR="00780055">
              <w:rPr>
                <w:noProof/>
                <w:webHidden/>
              </w:rPr>
            </w:r>
            <w:r w:rsidR="00780055">
              <w:rPr>
                <w:noProof/>
                <w:webHidden/>
              </w:rPr>
              <w:fldChar w:fldCharType="separate"/>
            </w:r>
            <w:r w:rsidR="00F80EB3">
              <w:rPr>
                <w:noProof/>
                <w:webHidden/>
              </w:rPr>
              <w:t>5</w:t>
            </w:r>
            <w:r w:rsidR="00780055">
              <w:rPr>
                <w:noProof/>
                <w:webHidden/>
              </w:rPr>
              <w:fldChar w:fldCharType="end"/>
            </w:r>
          </w:hyperlink>
        </w:p>
        <w:p w14:paraId="34D4130E" w14:textId="5369AF47" w:rsidR="00780055" w:rsidRDefault="007B6267">
          <w:pPr>
            <w:pStyle w:val="TOC2"/>
            <w:rPr>
              <w:rFonts w:asciiTheme="minorHAnsi" w:eastAsiaTheme="minorEastAsia" w:hAnsiTheme="minorHAnsi"/>
              <w:noProof/>
              <w:kern w:val="2"/>
              <w:sz w:val="22"/>
              <w:lang w:eastAsia="en-GB"/>
              <w14:ligatures w14:val="standardContextual"/>
            </w:rPr>
          </w:pPr>
          <w:hyperlink w:anchor="_Toc146807844" w:history="1">
            <w:r w:rsidR="00780055" w:rsidRPr="008249F6">
              <w:rPr>
                <w:rStyle w:val="Hyperlink"/>
                <w:noProof/>
                <w:shd w:val="clear" w:color="auto" w:fill="FFFFFF"/>
              </w:rPr>
              <w:t>Office for Standards in Education, Children's Services and Skills (Ofsted)</w:t>
            </w:r>
            <w:r w:rsidR="00780055">
              <w:rPr>
                <w:noProof/>
                <w:webHidden/>
              </w:rPr>
              <w:tab/>
            </w:r>
            <w:r w:rsidR="00780055">
              <w:rPr>
                <w:noProof/>
                <w:webHidden/>
              </w:rPr>
              <w:fldChar w:fldCharType="begin"/>
            </w:r>
            <w:r w:rsidR="00780055">
              <w:rPr>
                <w:noProof/>
                <w:webHidden/>
              </w:rPr>
              <w:instrText xml:space="preserve"> PAGEREF _Toc146807844 \h </w:instrText>
            </w:r>
            <w:r w:rsidR="00780055">
              <w:rPr>
                <w:noProof/>
                <w:webHidden/>
              </w:rPr>
            </w:r>
            <w:r w:rsidR="00780055">
              <w:rPr>
                <w:noProof/>
                <w:webHidden/>
              </w:rPr>
              <w:fldChar w:fldCharType="separate"/>
            </w:r>
            <w:r w:rsidR="00F80EB3">
              <w:rPr>
                <w:noProof/>
                <w:webHidden/>
              </w:rPr>
              <w:t>6</w:t>
            </w:r>
            <w:r w:rsidR="00780055">
              <w:rPr>
                <w:noProof/>
                <w:webHidden/>
              </w:rPr>
              <w:fldChar w:fldCharType="end"/>
            </w:r>
          </w:hyperlink>
        </w:p>
        <w:p w14:paraId="46EBCDF0" w14:textId="5C1555EA" w:rsidR="00780055" w:rsidRDefault="007B6267">
          <w:pPr>
            <w:pStyle w:val="TOC2"/>
            <w:rPr>
              <w:rFonts w:asciiTheme="minorHAnsi" w:eastAsiaTheme="minorEastAsia" w:hAnsiTheme="minorHAnsi"/>
              <w:noProof/>
              <w:kern w:val="2"/>
              <w:sz w:val="22"/>
              <w:lang w:eastAsia="en-GB"/>
              <w14:ligatures w14:val="standardContextual"/>
            </w:rPr>
          </w:pPr>
          <w:hyperlink w:anchor="_Toc146807845" w:history="1">
            <w:r w:rsidR="00780055" w:rsidRPr="008249F6">
              <w:rPr>
                <w:rStyle w:val="Hyperlink"/>
                <w:noProof/>
              </w:rPr>
              <w:t>Professional Statutory and Regulatory Bodies</w:t>
            </w:r>
            <w:r w:rsidR="00780055">
              <w:rPr>
                <w:noProof/>
                <w:webHidden/>
              </w:rPr>
              <w:tab/>
            </w:r>
            <w:r w:rsidR="00780055">
              <w:rPr>
                <w:noProof/>
                <w:webHidden/>
              </w:rPr>
              <w:fldChar w:fldCharType="begin"/>
            </w:r>
            <w:r w:rsidR="00780055">
              <w:rPr>
                <w:noProof/>
                <w:webHidden/>
              </w:rPr>
              <w:instrText xml:space="preserve"> PAGEREF _Toc146807845 \h </w:instrText>
            </w:r>
            <w:r w:rsidR="00780055">
              <w:rPr>
                <w:noProof/>
                <w:webHidden/>
              </w:rPr>
            </w:r>
            <w:r w:rsidR="00780055">
              <w:rPr>
                <w:noProof/>
                <w:webHidden/>
              </w:rPr>
              <w:fldChar w:fldCharType="separate"/>
            </w:r>
            <w:r w:rsidR="00F80EB3">
              <w:rPr>
                <w:noProof/>
                <w:webHidden/>
              </w:rPr>
              <w:t>6</w:t>
            </w:r>
            <w:r w:rsidR="00780055">
              <w:rPr>
                <w:noProof/>
                <w:webHidden/>
              </w:rPr>
              <w:fldChar w:fldCharType="end"/>
            </w:r>
          </w:hyperlink>
        </w:p>
        <w:p w14:paraId="5F483F76" w14:textId="4E6943C7" w:rsidR="00780055" w:rsidRDefault="007B6267">
          <w:pPr>
            <w:pStyle w:val="TOC1"/>
            <w:rPr>
              <w:rFonts w:asciiTheme="minorHAnsi" w:eastAsiaTheme="minorEastAsia" w:hAnsiTheme="minorHAnsi"/>
              <w:noProof/>
              <w:kern w:val="2"/>
              <w:sz w:val="22"/>
              <w:lang w:eastAsia="en-GB"/>
              <w14:ligatures w14:val="standardContextual"/>
            </w:rPr>
          </w:pPr>
          <w:hyperlink w:anchor="_Toc146807846" w:history="1">
            <w:r w:rsidR="00780055" w:rsidRPr="008249F6">
              <w:rPr>
                <w:rStyle w:val="Hyperlink"/>
                <w:noProof/>
              </w:rPr>
              <w:t>QUALITY MANAGEMENT AT EDGE HILL</w:t>
            </w:r>
            <w:r w:rsidR="00780055">
              <w:rPr>
                <w:noProof/>
                <w:webHidden/>
              </w:rPr>
              <w:tab/>
            </w:r>
            <w:r w:rsidR="00780055">
              <w:rPr>
                <w:noProof/>
                <w:webHidden/>
              </w:rPr>
              <w:fldChar w:fldCharType="begin"/>
            </w:r>
            <w:r w:rsidR="00780055">
              <w:rPr>
                <w:noProof/>
                <w:webHidden/>
              </w:rPr>
              <w:instrText xml:space="preserve"> PAGEREF _Toc146807846 \h </w:instrText>
            </w:r>
            <w:r w:rsidR="00780055">
              <w:rPr>
                <w:noProof/>
                <w:webHidden/>
              </w:rPr>
            </w:r>
            <w:r w:rsidR="00780055">
              <w:rPr>
                <w:noProof/>
                <w:webHidden/>
              </w:rPr>
              <w:fldChar w:fldCharType="separate"/>
            </w:r>
            <w:r w:rsidR="00F80EB3">
              <w:rPr>
                <w:noProof/>
                <w:webHidden/>
              </w:rPr>
              <w:t>7</w:t>
            </w:r>
            <w:r w:rsidR="00780055">
              <w:rPr>
                <w:noProof/>
                <w:webHidden/>
              </w:rPr>
              <w:fldChar w:fldCharType="end"/>
            </w:r>
          </w:hyperlink>
        </w:p>
        <w:p w14:paraId="71B77272" w14:textId="32CB8710" w:rsidR="00780055" w:rsidRDefault="007B6267">
          <w:pPr>
            <w:pStyle w:val="TOC2"/>
            <w:rPr>
              <w:rFonts w:asciiTheme="minorHAnsi" w:eastAsiaTheme="minorEastAsia" w:hAnsiTheme="minorHAnsi"/>
              <w:noProof/>
              <w:kern w:val="2"/>
              <w:sz w:val="22"/>
              <w:lang w:eastAsia="en-GB"/>
              <w14:ligatures w14:val="standardContextual"/>
            </w:rPr>
          </w:pPr>
          <w:hyperlink w:anchor="_Toc146807847" w:history="1">
            <w:r w:rsidR="00780055" w:rsidRPr="008249F6">
              <w:rPr>
                <w:rStyle w:val="Hyperlink"/>
                <w:noProof/>
              </w:rPr>
              <w:t>Our Quality ‘Culture’</w:t>
            </w:r>
            <w:r w:rsidR="00780055">
              <w:rPr>
                <w:noProof/>
                <w:webHidden/>
              </w:rPr>
              <w:tab/>
            </w:r>
            <w:r w:rsidR="00780055">
              <w:rPr>
                <w:noProof/>
                <w:webHidden/>
              </w:rPr>
              <w:fldChar w:fldCharType="begin"/>
            </w:r>
            <w:r w:rsidR="00780055">
              <w:rPr>
                <w:noProof/>
                <w:webHidden/>
              </w:rPr>
              <w:instrText xml:space="preserve"> PAGEREF _Toc146807847 \h </w:instrText>
            </w:r>
            <w:r w:rsidR="00780055">
              <w:rPr>
                <w:noProof/>
                <w:webHidden/>
              </w:rPr>
            </w:r>
            <w:r w:rsidR="00780055">
              <w:rPr>
                <w:noProof/>
                <w:webHidden/>
              </w:rPr>
              <w:fldChar w:fldCharType="separate"/>
            </w:r>
            <w:r w:rsidR="00F80EB3">
              <w:rPr>
                <w:noProof/>
                <w:webHidden/>
              </w:rPr>
              <w:t>7</w:t>
            </w:r>
            <w:r w:rsidR="00780055">
              <w:rPr>
                <w:noProof/>
                <w:webHidden/>
              </w:rPr>
              <w:fldChar w:fldCharType="end"/>
            </w:r>
          </w:hyperlink>
        </w:p>
        <w:p w14:paraId="25AE84CA" w14:textId="0383D497" w:rsidR="00780055" w:rsidRDefault="007B6267">
          <w:pPr>
            <w:pStyle w:val="TOC2"/>
            <w:rPr>
              <w:rFonts w:asciiTheme="minorHAnsi" w:eastAsiaTheme="minorEastAsia" w:hAnsiTheme="minorHAnsi"/>
              <w:noProof/>
              <w:kern w:val="2"/>
              <w:sz w:val="22"/>
              <w:lang w:eastAsia="en-GB"/>
              <w14:ligatures w14:val="standardContextual"/>
            </w:rPr>
          </w:pPr>
          <w:hyperlink w:anchor="_Toc146807848" w:history="1">
            <w:r w:rsidR="00780055" w:rsidRPr="008249F6">
              <w:rPr>
                <w:rStyle w:val="Hyperlink"/>
                <w:noProof/>
              </w:rPr>
              <w:t>Assessing and Managing Academic Risk</w:t>
            </w:r>
            <w:r w:rsidR="00780055">
              <w:rPr>
                <w:noProof/>
                <w:webHidden/>
              </w:rPr>
              <w:tab/>
            </w:r>
            <w:r w:rsidR="00780055">
              <w:rPr>
                <w:noProof/>
                <w:webHidden/>
              </w:rPr>
              <w:fldChar w:fldCharType="begin"/>
            </w:r>
            <w:r w:rsidR="00780055">
              <w:rPr>
                <w:noProof/>
                <w:webHidden/>
              </w:rPr>
              <w:instrText xml:space="preserve"> PAGEREF _Toc146807848 \h </w:instrText>
            </w:r>
            <w:r w:rsidR="00780055">
              <w:rPr>
                <w:noProof/>
                <w:webHidden/>
              </w:rPr>
            </w:r>
            <w:r w:rsidR="00780055">
              <w:rPr>
                <w:noProof/>
                <w:webHidden/>
              </w:rPr>
              <w:fldChar w:fldCharType="separate"/>
            </w:r>
            <w:r w:rsidR="00F80EB3">
              <w:rPr>
                <w:noProof/>
                <w:webHidden/>
              </w:rPr>
              <w:t>7</w:t>
            </w:r>
            <w:r w:rsidR="00780055">
              <w:rPr>
                <w:noProof/>
                <w:webHidden/>
              </w:rPr>
              <w:fldChar w:fldCharType="end"/>
            </w:r>
          </w:hyperlink>
        </w:p>
        <w:p w14:paraId="3328F926" w14:textId="2223099D" w:rsidR="00780055" w:rsidRDefault="007B6267">
          <w:pPr>
            <w:pStyle w:val="TOC2"/>
            <w:rPr>
              <w:rFonts w:asciiTheme="minorHAnsi" w:eastAsiaTheme="minorEastAsia" w:hAnsiTheme="minorHAnsi"/>
              <w:noProof/>
              <w:kern w:val="2"/>
              <w:sz w:val="22"/>
              <w:lang w:eastAsia="en-GB"/>
              <w14:ligatures w14:val="standardContextual"/>
            </w:rPr>
          </w:pPr>
          <w:hyperlink w:anchor="_Toc146807849" w:history="1">
            <w:r w:rsidR="00780055" w:rsidRPr="008249F6">
              <w:rPr>
                <w:rStyle w:val="Hyperlink"/>
                <w:noProof/>
              </w:rPr>
              <w:t>Setting and Maintaining Standards and Enhancing Quality</w:t>
            </w:r>
            <w:r w:rsidR="00780055">
              <w:rPr>
                <w:noProof/>
                <w:webHidden/>
              </w:rPr>
              <w:tab/>
            </w:r>
            <w:r w:rsidR="00780055">
              <w:rPr>
                <w:noProof/>
                <w:webHidden/>
              </w:rPr>
              <w:fldChar w:fldCharType="begin"/>
            </w:r>
            <w:r w:rsidR="00780055">
              <w:rPr>
                <w:noProof/>
                <w:webHidden/>
              </w:rPr>
              <w:instrText xml:space="preserve"> PAGEREF _Toc146807849 \h </w:instrText>
            </w:r>
            <w:r w:rsidR="00780055">
              <w:rPr>
                <w:noProof/>
                <w:webHidden/>
              </w:rPr>
            </w:r>
            <w:r w:rsidR="00780055">
              <w:rPr>
                <w:noProof/>
                <w:webHidden/>
              </w:rPr>
              <w:fldChar w:fldCharType="separate"/>
            </w:r>
            <w:r w:rsidR="00F80EB3">
              <w:rPr>
                <w:noProof/>
                <w:webHidden/>
              </w:rPr>
              <w:t>8</w:t>
            </w:r>
            <w:r w:rsidR="00780055">
              <w:rPr>
                <w:noProof/>
                <w:webHidden/>
              </w:rPr>
              <w:fldChar w:fldCharType="end"/>
            </w:r>
          </w:hyperlink>
        </w:p>
        <w:p w14:paraId="45EAF062" w14:textId="58B12BF1" w:rsidR="00780055" w:rsidRDefault="007B6267">
          <w:pPr>
            <w:pStyle w:val="TOC2"/>
            <w:rPr>
              <w:rFonts w:asciiTheme="minorHAnsi" w:eastAsiaTheme="minorEastAsia" w:hAnsiTheme="minorHAnsi"/>
              <w:noProof/>
              <w:kern w:val="2"/>
              <w:sz w:val="22"/>
              <w:lang w:eastAsia="en-GB"/>
              <w14:ligatures w14:val="standardContextual"/>
            </w:rPr>
          </w:pPr>
          <w:hyperlink w:anchor="_Toc146807850" w:history="1">
            <w:r w:rsidR="00780055" w:rsidRPr="008249F6">
              <w:rPr>
                <w:rStyle w:val="Hyperlink"/>
                <w:noProof/>
              </w:rPr>
              <w:t>Designing our Quality Assurance Systems</w:t>
            </w:r>
            <w:r w:rsidR="00780055">
              <w:rPr>
                <w:noProof/>
                <w:webHidden/>
              </w:rPr>
              <w:tab/>
            </w:r>
            <w:r w:rsidR="00780055">
              <w:rPr>
                <w:noProof/>
                <w:webHidden/>
              </w:rPr>
              <w:fldChar w:fldCharType="begin"/>
            </w:r>
            <w:r w:rsidR="00780055">
              <w:rPr>
                <w:noProof/>
                <w:webHidden/>
              </w:rPr>
              <w:instrText xml:space="preserve"> PAGEREF _Toc146807850 \h </w:instrText>
            </w:r>
            <w:r w:rsidR="00780055">
              <w:rPr>
                <w:noProof/>
                <w:webHidden/>
              </w:rPr>
            </w:r>
            <w:r w:rsidR="00780055">
              <w:rPr>
                <w:noProof/>
                <w:webHidden/>
              </w:rPr>
              <w:fldChar w:fldCharType="separate"/>
            </w:r>
            <w:r w:rsidR="00F80EB3">
              <w:rPr>
                <w:noProof/>
                <w:webHidden/>
              </w:rPr>
              <w:t>10</w:t>
            </w:r>
            <w:r w:rsidR="00780055">
              <w:rPr>
                <w:noProof/>
                <w:webHidden/>
              </w:rPr>
              <w:fldChar w:fldCharType="end"/>
            </w:r>
          </w:hyperlink>
        </w:p>
        <w:p w14:paraId="6114C7AD" w14:textId="084FE722" w:rsidR="00780055" w:rsidRDefault="007B6267">
          <w:pPr>
            <w:pStyle w:val="TOC2"/>
            <w:rPr>
              <w:rFonts w:asciiTheme="minorHAnsi" w:eastAsiaTheme="minorEastAsia" w:hAnsiTheme="minorHAnsi"/>
              <w:noProof/>
              <w:kern w:val="2"/>
              <w:sz w:val="22"/>
              <w:lang w:eastAsia="en-GB"/>
              <w14:ligatures w14:val="standardContextual"/>
            </w:rPr>
          </w:pPr>
          <w:hyperlink w:anchor="_Toc146807851" w:history="1">
            <w:r w:rsidR="00780055" w:rsidRPr="008249F6">
              <w:rPr>
                <w:rStyle w:val="Hyperlink"/>
                <w:noProof/>
              </w:rPr>
              <w:t>Evaluating our Quality Assurance Systems</w:t>
            </w:r>
            <w:r w:rsidR="00780055">
              <w:rPr>
                <w:noProof/>
                <w:webHidden/>
              </w:rPr>
              <w:tab/>
            </w:r>
            <w:r w:rsidR="00780055">
              <w:rPr>
                <w:noProof/>
                <w:webHidden/>
              </w:rPr>
              <w:fldChar w:fldCharType="begin"/>
            </w:r>
            <w:r w:rsidR="00780055">
              <w:rPr>
                <w:noProof/>
                <w:webHidden/>
              </w:rPr>
              <w:instrText xml:space="preserve"> PAGEREF _Toc146807851 \h </w:instrText>
            </w:r>
            <w:r w:rsidR="00780055">
              <w:rPr>
                <w:noProof/>
                <w:webHidden/>
              </w:rPr>
            </w:r>
            <w:r w:rsidR="00780055">
              <w:rPr>
                <w:noProof/>
                <w:webHidden/>
              </w:rPr>
              <w:fldChar w:fldCharType="separate"/>
            </w:r>
            <w:r w:rsidR="00F80EB3">
              <w:rPr>
                <w:noProof/>
                <w:webHidden/>
              </w:rPr>
              <w:t>11</w:t>
            </w:r>
            <w:r w:rsidR="00780055">
              <w:rPr>
                <w:noProof/>
                <w:webHidden/>
              </w:rPr>
              <w:fldChar w:fldCharType="end"/>
            </w:r>
          </w:hyperlink>
        </w:p>
        <w:p w14:paraId="753D1D26" w14:textId="7E59FCF7" w:rsidR="00780055" w:rsidRDefault="007B6267">
          <w:pPr>
            <w:pStyle w:val="TOC2"/>
            <w:rPr>
              <w:rFonts w:asciiTheme="minorHAnsi" w:eastAsiaTheme="minorEastAsia" w:hAnsiTheme="minorHAnsi"/>
              <w:noProof/>
              <w:kern w:val="2"/>
              <w:sz w:val="22"/>
              <w:lang w:eastAsia="en-GB"/>
              <w14:ligatures w14:val="standardContextual"/>
            </w:rPr>
          </w:pPr>
          <w:hyperlink w:anchor="_Toc146807852" w:history="1">
            <w:r w:rsidR="00780055" w:rsidRPr="008249F6">
              <w:rPr>
                <w:rStyle w:val="Hyperlink"/>
                <w:noProof/>
              </w:rPr>
              <w:t>Faculty Academic Quality Statements</w:t>
            </w:r>
            <w:r w:rsidR="00780055">
              <w:rPr>
                <w:noProof/>
                <w:webHidden/>
              </w:rPr>
              <w:tab/>
            </w:r>
            <w:r w:rsidR="00780055">
              <w:rPr>
                <w:noProof/>
                <w:webHidden/>
              </w:rPr>
              <w:fldChar w:fldCharType="begin"/>
            </w:r>
            <w:r w:rsidR="00780055">
              <w:rPr>
                <w:noProof/>
                <w:webHidden/>
              </w:rPr>
              <w:instrText xml:space="preserve"> PAGEREF _Toc146807852 \h </w:instrText>
            </w:r>
            <w:r w:rsidR="00780055">
              <w:rPr>
                <w:noProof/>
                <w:webHidden/>
              </w:rPr>
            </w:r>
            <w:r w:rsidR="00780055">
              <w:rPr>
                <w:noProof/>
                <w:webHidden/>
              </w:rPr>
              <w:fldChar w:fldCharType="separate"/>
            </w:r>
            <w:r w:rsidR="00F80EB3">
              <w:rPr>
                <w:noProof/>
                <w:webHidden/>
              </w:rPr>
              <w:t>12</w:t>
            </w:r>
            <w:r w:rsidR="00780055">
              <w:rPr>
                <w:noProof/>
                <w:webHidden/>
              </w:rPr>
              <w:fldChar w:fldCharType="end"/>
            </w:r>
          </w:hyperlink>
        </w:p>
        <w:p w14:paraId="6E65A872" w14:textId="44942AD3" w:rsidR="00914C1E" w:rsidRDefault="00914C1E">
          <w:r>
            <w:rPr>
              <w:b/>
              <w:bCs/>
              <w:noProof/>
            </w:rPr>
            <w:fldChar w:fldCharType="end"/>
          </w:r>
        </w:p>
      </w:sdtContent>
    </w:sdt>
    <w:p w14:paraId="3C1C6CA0" w14:textId="77777777" w:rsidR="00CF75EE" w:rsidRDefault="00CF75EE" w:rsidP="00A5704C">
      <w:pPr>
        <w:pStyle w:val="NoSpacing"/>
      </w:pPr>
    </w:p>
    <w:p w14:paraId="29800C72" w14:textId="77777777" w:rsidR="00840176" w:rsidRDefault="00840176" w:rsidP="00A5704C">
      <w:pPr>
        <w:pStyle w:val="NoSpacing"/>
      </w:pPr>
    </w:p>
    <w:p w14:paraId="306A2E7B" w14:textId="664259F8" w:rsidR="0073021F" w:rsidRDefault="0073021F">
      <w:pPr>
        <w:spacing w:line="276" w:lineRule="auto"/>
        <w:rPr>
          <w:rFonts w:ascii="Arial" w:hAnsi="Arial"/>
        </w:rPr>
      </w:pPr>
      <w:r>
        <w:br w:type="page"/>
      </w:r>
    </w:p>
    <w:p w14:paraId="2EE51655" w14:textId="77777777" w:rsidR="007063EB" w:rsidRPr="007063EB" w:rsidRDefault="007063EB" w:rsidP="00B72F00">
      <w:pPr>
        <w:pStyle w:val="NoSpacing"/>
        <w:numPr>
          <w:ilvl w:val="0"/>
          <w:numId w:val="17"/>
        </w:numPr>
        <w:rPr>
          <w:vanish/>
          <w:specVanish/>
        </w:rPr>
      </w:pPr>
    </w:p>
    <w:p w14:paraId="7F5ACA54" w14:textId="3583B699" w:rsidR="00642300" w:rsidRPr="00505865" w:rsidRDefault="00BC4918" w:rsidP="004418E5">
      <w:pPr>
        <w:pStyle w:val="Heading1"/>
        <w:contextualSpacing/>
        <w:jc w:val="both"/>
      </w:pPr>
      <w:bookmarkStart w:id="0" w:name="_Toc146807839"/>
      <w:r>
        <w:t>S</w:t>
      </w:r>
      <w:r w:rsidR="00C052EA">
        <w:t>COPE</w:t>
      </w:r>
      <w:bookmarkEnd w:id="0"/>
    </w:p>
    <w:p w14:paraId="41238A83" w14:textId="51BF23A6" w:rsidR="002C616F" w:rsidRDefault="00F42579" w:rsidP="004418E5">
      <w:pPr>
        <w:spacing w:before="120"/>
        <w:contextualSpacing/>
        <w:jc w:val="both"/>
      </w:pPr>
      <w:r>
        <w:t>The Quality Management Handbook (or QMH)</w:t>
      </w:r>
      <w:r w:rsidR="00E37FD6">
        <w:t xml:space="preserve"> describes </w:t>
      </w:r>
      <w:r w:rsidR="00E23D9E">
        <w:t xml:space="preserve">the University’s </w:t>
      </w:r>
      <w:r w:rsidR="00692941">
        <w:t xml:space="preserve">strategic </w:t>
      </w:r>
      <w:r w:rsidR="00E23D9E">
        <w:t xml:space="preserve">approach to </w:t>
      </w:r>
      <w:r w:rsidR="00692941">
        <w:t xml:space="preserve">the management of quality and standards </w:t>
      </w:r>
      <w:r w:rsidR="0066304E">
        <w:t>including</w:t>
      </w:r>
      <w:r w:rsidR="00692941">
        <w:t xml:space="preserve"> </w:t>
      </w:r>
      <w:r w:rsidR="00E37FD6">
        <w:t>the operational procedures used to</w:t>
      </w:r>
      <w:r w:rsidR="002C616F">
        <w:t>:</w:t>
      </w:r>
    </w:p>
    <w:p w14:paraId="1CEEBDBD" w14:textId="77777777" w:rsidR="002C616F" w:rsidRDefault="002C616F" w:rsidP="004418E5">
      <w:pPr>
        <w:pStyle w:val="ListParagraph"/>
        <w:numPr>
          <w:ilvl w:val="0"/>
          <w:numId w:val="26"/>
        </w:numPr>
        <w:spacing w:before="120"/>
        <w:jc w:val="both"/>
      </w:pPr>
      <w:r>
        <w:t>S</w:t>
      </w:r>
      <w:r w:rsidR="0076395B">
        <w:t>et and maintain</w:t>
      </w:r>
      <w:r w:rsidR="005933ED">
        <w:t xml:space="preserve"> </w:t>
      </w:r>
      <w:r w:rsidR="008251DA" w:rsidRPr="00505865">
        <w:t xml:space="preserve">the standards of </w:t>
      </w:r>
      <w:r w:rsidR="008251DA">
        <w:t xml:space="preserve">its </w:t>
      </w:r>
      <w:r w:rsidR="00F83C4D">
        <w:t xml:space="preserve">taught </w:t>
      </w:r>
      <w:r w:rsidR="008251DA" w:rsidRPr="00505865">
        <w:t>qualifications and awards</w:t>
      </w:r>
      <w:r>
        <w:t>;</w:t>
      </w:r>
      <w:r w:rsidR="008251DA" w:rsidRPr="00505865">
        <w:t xml:space="preserve"> </w:t>
      </w:r>
      <w:r w:rsidR="005933ED">
        <w:t>and</w:t>
      </w:r>
      <w:r>
        <w:t>,</w:t>
      </w:r>
    </w:p>
    <w:p w14:paraId="7AB3E574" w14:textId="77777777" w:rsidR="0066304E" w:rsidRDefault="002C616F" w:rsidP="004418E5">
      <w:pPr>
        <w:pStyle w:val="ListParagraph"/>
        <w:numPr>
          <w:ilvl w:val="0"/>
          <w:numId w:val="26"/>
        </w:numPr>
        <w:spacing w:before="120"/>
        <w:jc w:val="both"/>
      </w:pPr>
      <w:r>
        <w:t>T</w:t>
      </w:r>
      <w:r w:rsidR="004C3ACD">
        <w:t xml:space="preserve">o </w:t>
      </w:r>
      <w:r w:rsidR="005933ED">
        <w:t>enhance the quality</w:t>
      </w:r>
      <w:r w:rsidR="00967FC1">
        <w:t xml:space="preserve"> of the student experience</w:t>
      </w:r>
      <w:r w:rsidR="00DD7C48">
        <w:t xml:space="preserve">.  </w:t>
      </w:r>
    </w:p>
    <w:p w14:paraId="5B3C011F" w14:textId="5B53D11E" w:rsidR="00FA5EEB" w:rsidRDefault="00DD7C48" w:rsidP="004418E5">
      <w:pPr>
        <w:spacing w:before="120"/>
        <w:contextualSpacing/>
        <w:jc w:val="both"/>
      </w:pPr>
      <w:r>
        <w:t xml:space="preserve">The QMH is </w:t>
      </w:r>
      <w:r w:rsidR="000352D8">
        <w:t xml:space="preserve">owned and </w:t>
      </w:r>
      <w:r w:rsidR="00552011">
        <w:t>managed</w:t>
      </w:r>
      <w:r w:rsidR="000352D8">
        <w:t xml:space="preserve"> by the </w:t>
      </w:r>
      <w:hyperlink r:id="rId11" w:history="1">
        <w:r w:rsidR="004E0820" w:rsidRPr="00EA1617">
          <w:rPr>
            <w:rStyle w:val="Hyperlink"/>
          </w:rPr>
          <w:t>Governance, Quality Assurance and Student Casework unit</w:t>
        </w:r>
      </w:hyperlink>
      <w:r w:rsidR="004E0820">
        <w:t xml:space="preserve"> (GQASC)</w:t>
      </w:r>
      <w:r w:rsidR="00B9694C">
        <w:t>, with principal</w:t>
      </w:r>
      <w:r w:rsidR="00E3790D">
        <w:t xml:space="preserve"> </w:t>
      </w:r>
      <w:r w:rsidR="00B9694C">
        <w:t>o</w:t>
      </w:r>
      <w:r w:rsidR="00552011" w:rsidRPr="00552011">
        <w:t xml:space="preserve">versight by </w:t>
      </w:r>
      <w:r w:rsidR="00642E5E">
        <w:t>Academic Board’s</w:t>
      </w:r>
      <w:r w:rsidR="00456EFA">
        <w:t xml:space="preserve"> </w:t>
      </w:r>
      <w:r w:rsidR="00552011" w:rsidRPr="00552011">
        <w:t>Academic Quality Enhancement Committee (AQEC)</w:t>
      </w:r>
      <w:r w:rsidR="00552011" w:rsidRPr="00552011">
        <w:rPr>
          <w:vertAlign w:val="superscript"/>
        </w:rPr>
        <w:footnoteReference w:id="2"/>
      </w:r>
      <w:r w:rsidR="00552011" w:rsidRPr="00552011">
        <w:t>.</w:t>
      </w:r>
    </w:p>
    <w:p w14:paraId="6AC47491" w14:textId="77777777" w:rsidR="004418E5" w:rsidRDefault="004418E5" w:rsidP="004418E5">
      <w:pPr>
        <w:spacing w:before="120"/>
        <w:contextualSpacing/>
        <w:jc w:val="both"/>
      </w:pPr>
    </w:p>
    <w:p w14:paraId="198F3A3B" w14:textId="4C5296CC" w:rsidR="00C052EA" w:rsidRPr="00505865" w:rsidRDefault="00C052EA" w:rsidP="004418E5">
      <w:pPr>
        <w:pStyle w:val="Heading1"/>
        <w:contextualSpacing/>
        <w:jc w:val="both"/>
      </w:pPr>
      <w:bookmarkStart w:id="1" w:name="_Toc146807840"/>
      <w:bookmarkStart w:id="2" w:name="_Hlk83293596"/>
      <w:r>
        <w:t>PURPOSE</w:t>
      </w:r>
      <w:bookmarkEnd w:id="1"/>
    </w:p>
    <w:bookmarkEnd w:id="2"/>
    <w:p w14:paraId="583F012E" w14:textId="398A46F0" w:rsidR="00F35CB4" w:rsidRPr="003479AC" w:rsidRDefault="00AD7281" w:rsidP="004418E5">
      <w:pPr>
        <w:spacing w:before="120"/>
        <w:contextualSpacing/>
        <w:jc w:val="both"/>
      </w:pPr>
      <w:r w:rsidRPr="00AD7281">
        <w:t xml:space="preserve">This </w:t>
      </w:r>
      <w:r w:rsidR="00AB4C01">
        <w:t>h</w:t>
      </w:r>
      <w:r w:rsidRPr="00AD7281">
        <w:t>andbook is the product of years of debate and experimentation within the University</w:t>
      </w:r>
      <w:r w:rsidR="00A8319F">
        <w:t>.</w:t>
      </w:r>
      <w:r w:rsidR="00A8319F" w:rsidRPr="00A8319F">
        <w:t xml:space="preserve"> </w:t>
      </w:r>
      <w:r w:rsidR="00947099">
        <w:t>The processes and p</w:t>
      </w:r>
      <w:r w:rsidR="00947099" w:rsidRPr="00AD7281">
        <w:t>rocedures</w:t>
      </w:r>
      <w:r w:rsidR="00947099">
        <w:t xml:space="preserve"> described in chapters 2 -</w:t>
      </w:r>
      <w:r w:rsidR="00644D82">
        <w:t xml:space="preserve"> 9</w:t>
      </w:r>
      <w:r w:rsidR="00947099">
        <w:t xml:space="preserve"> </w:t>
      </w:r>
      <w:r w:rsidR="00947099" w:rsidRPr="00AD7281">
        <w:t>are continuously evaluated</w:t>
      </w:r>
      <w:r w:rsidR="00947099">
        <w:t xml:space="preserve"> </w:t>
      </w:r>
      <w:r w:rsidR="00947099" w:rsidRPr="00AD7281">
        <w:t>against current regulatory conditions</w:t>
      </w:r>
      <w:r w:rsidR="00D029BC">
        <w:t xml:space="preserve"> </w:t>
      </w:r>
      <w:r w:rsidR="00947099" w:rsidRPr="00AD7281">
        <w:t xml:space="preserve">and sector best practice. </w:t>
      </w:r>
      <w:r w:rsidR="00F35CB4">
        <w:t>A</w:t>
      </w:r>
      <w:r w:rsidR="00F35CB4" w:rsidRPr="003479AC">
        <w:t xml:space="preserve">longside other Institutional policies and procedures, </w:t>
      </w:r>
      <w:r w:rsidR="00F35CB4">
        <w:t xml:space="preserve">it </w:t>
      </w:r>
      <w:r w:rsidR="00F35CB4" w:rsidRPr="003479AC">
        <w:t xml:space="preserve">enables the Institution to remain compliant with the </w:t>
      </w:r>
      <w:r w:rsidR="00644D82">
        <w:t>Office for Students</w:t>
      </w:r>
      <w:r w:rsidR="00F35CB4" w:rsidRPr="00F35CB4">
        <w:t>’</w:t>
      </w:r>
      <w:r w:rsidR="00F35CB4" w:rsidRPr="003479AC">
        <w:t xml:space="preserve"> </w:t>
      </w:r>
      <w:r w:rsidR="00644D82">
        <w:t>(</w:t>
      </w:r>
      <w:proofErr w:type="spellStart"/>
      <w:r w:rsidR="00644D82">
        <w:t>OfS</w:t>
      </w:r>
      <w:proofErr w:type="spellEnd"/>
      <w:r w:rsidR="00644D82">
        <w:t xml:space="preserve">) </w:t>
      </w:r>
      <w:r w:rsidR="00F35CB4" w:rsidRPr="003479AC">
        <w:t xml:space="preserve">Ongoing Conditions of Registration contained within the </w:t>
      </w:r>
      <w:hyperlink r:id="rId12" w:history="1">
        <w:r w:rsidR="00F35CB4" w:rsidRPr="00EA1617">
          <w:rPr>
            <w:rStyle w:val="Hyperlink"/>
          </w:rPr>
          <w:t>Regulatory Framework</w:t>
        </w:r>
        <w:r w:rsidR="00286D0C" w:rsidRPr="00EA1617">
          <w:rPr>
            <w:rStyle w:val="Hyperlink"/>
          </w:rPr>
          <w:t xml:space="preserve"> for Higher Education</w:t>
        </w:r>
        <w:r w:rsidR="00A520EF" w:rsidRPr="00EA1617">
          <w:rPr>
            <w:rStyle w:val="Hyperlink"/>
          </w:rPr>
          <w:t xml:space="preserve"> (HE)</w:t>
        </w:r>
        <w:r w:rsidR="00286D0C" w:rsidRPr="00EA1617">
          <w:rPr>
            <w:rStyle w:val="Hyperlink"/>
          </w:rPr>
          <w:t xml:space="preserve"> in England</w:t>
        </w:r>
      </w:hyperlink>
      <w:r w:rsidR="00F35CB4" w:rsidRPr="003479AC">
        <w:t>, specifically the B conditions for quality, reliable standards and positive outcomes for all students</w:t>
      </w:r>
      <w:r w:rsidR="00A520EF">
        <w:t xml:space="preserve"> (see </w:t>
      </w:r>
      <w:r w:rsidR="00532523">
        <w:t>Figure 1</w:t>
      </w:r>
      <w:r w:rsidR="00A520EF">
        <w:t>)</w:t>
      </w:r>
      <w:r w:rsidR="00F35CB4" w:rsidRPr="003479AC">
        <w:t xml:space="preserve">. </w:t>
      </w:r>
    </w:p>
    <w:p w14:paraId="19909C1E" w14:textId="77777777" w:rsidR="00A520EF" w:rsidRDefault="00A520EF" w:rsidP="00872EBC">
      <w:pPr>
        <w:spacing w:before="120"/>
        <w:contextualSpacing/>
        <w:jc w:val="both"/>
      </w:pPr>
    </w:p>
    <w:p w14:paraId="684B928B" w14:textId="52C51E3D" w:rsidR="00A8319F" w:rsidRDefault="00461512" w:rsidP="00FB276F">
      <w:pPr>
        <w:spacing w:before="120"/>
        <w:contextualSpacing/>
        <w:jc w:val="both"/>
      </w:pPr>
      <w:r>
        <w:t xml:space="preserve">On a practical level </w:t>
      </w:r>
      <w:r w:rsidR="00FC551C">
        <w:t>it</w:t>
      </w:r>
      <w:r w:rsidR="00A8319F" w:rsidRPr="00AD7281">
        <w:t xml:space="preserve"> assist</w:t>
      </w:r>
      <w:r w:rsidR="00FC551C">
        <w:t>s</w:t>
      </w:r>
      <w:r w:rsidR="00A8319F" w:rsidRPr="00AD7281">
        <w:t xml:space="preserve"> staff </w:t>
      </w:r>
      <w:r w:rsidR="005B7DB8">
        <w:t>in developing a</w:t>
      </w:r>
      <w:r w:rsidR="00A8319F">
        <w:t xml:space="preserve"> detailed </w:t>
      </w:r>
      <w:r w:rsidR="00D63B4F">
        <w:t xml:space="preserve">and contemporary </w:t>
      </w:r>
      <w:r w:rsidR="00A8319F" w:rsidRPr="00AD7281">
        <w:t>understanding of</w:t>
      </w:r>
      <w:r w:rsidR="00FB276F">
        <w:t xml:space="preserve"> </w:t>
      </w:r>
      <w:r w:rsidR="00AA3026">
        <w:t>t</w:t>
      </w:r>
      <w:r w:rsidR="00A8319F" w:rsidRPr="00AD7281">
        <w:t xml:space="preserve">he Institution’s </w:t>
      </w:r>
      <w:r w:rsidR="00A8319F">
        <w:t>approach to setting standards and managing quality</w:t>
      </w:r>
      <w:r w:rsidR="00FB276F">
        <w:t xml:space="preserve"> and t</w:t>
      </w:r>
      <w:r w:rsidR="00A8319F">
        <w:t>he</w:t>
      </w:r>
      <w:r w:rsidR="00A8319F" w:rsidRPr="00AD7281">
        <w:t xml:space="preserve"> specific operational processes with which they are required to engage. </w:t>
      </w:r>
    </w:p>
    <w:p w14:paraId="469276C8" w14:textId="77777777" w:rsidR="00A417C8" w:rsidRDefault="00A417C8" w:rsidP="00872EBC">
      <w:pPr>
        <w:pStyle w:val="Heading1"/>
        <w:contextualSpacing/>
      </w:pPr>
    </w:p>
    <w:p w14:paraId="78A05620" w14:textId="6A6286D9" w:rsidR="000723F3" w:rsidRPr="000723F3" w:rsidRDefault="007304F9" w:rsidP="008A2C8C">
      <w:pPr>
        <w:pStyle w:val="Heading1"/>
        <w:contextualSpacing/>
        <w:jc w:val="both"/>
      </w:pPr>
      <w:bookmarkStart w:id="3" w:name="_Toc146807841"/>
      <w:r w:rsidRPr="00872EBC">
        <w:t>EXTERNAL REGULATORY ENVIRONMENT</w:t>
      </w:r>
      <w:bookmarkEnd w:id="3"/>
    </w:p>
    <w:p w14:paraId="69AF6051" w14:textId="6F25E87E" w:rsidR="00AB4291" w:rsidRPr="00F878F0" w:rsidRDefault="00AB4291" w:rsidP="008A2C8C">
      <w:pPr>
        <w:pStyle w:val="Heading2"/>
      </w:pPr>
      <w:bookmarkStart w:id="4" w:name="_Toc146807842"/>
      <w:r w:rsidRPr="00F878F0">
        <w:t>The Office for Students</w:t>
      </w:r>
      <w:bookmarkEnd w:id="4"/>
      <w:r w:rsidRPr="00F878F0">
        <w:t xml:space="preserve"> </w:t>
      </w:r>
    </w:p>
    <w:p w14:paraId="5602877D" w14:textId="2F3AEBC8" w:rsidR="00401752" w:rsidRPr="004E711A" w:rsidRDefault="00AB4291" w:rsidP="00872EBC">
      <w:pPr>
        <w:spacing w:before="120"/>
        <w:contextualSpacing/>
        <w:jc w:val="both"/>
        <w:rPr>
          <w:rFonts w:eastAsia="Calibri" w:cs="Calibri"/>
          <w:b/>
          <w:bCs/>
          <w:szCs w:val="24"/>
        </w:rPr>
      </w:pPr>
      <w:r w:rsidRPr="00AB4291">
        <w:rPr>
          <w:szCs w:val="24"/>
        </w:rPr>
        <w:t xml:space="preserve">The </w:t>
      </w:r>
      <w:proofErr w:type="spellStart"/>
      <w:r w:rsidRPr="00AB4291">
        <w:rPr>
          <w:szCs w:val="24"/>
        </w:rPr>
        <w:t>OfS</w:t>
      </w:r>
      <w:proofErr w:type="spellEnd"/>
      <w:r w:rsidRPr="00AB4291">
        <w:rPr>
          <w:szCs w:val="24"/>
        </w:rPr>
        <w:t xml:space="preserve"> is the independent regulator of HE in England. </w:t>
      </w:r>
      <w:proofErr w:type="spellStart"/>
      <w:r w:rsidRPr="00AB4291">
        <w:rPr>
          <w:szCs w:val="24"/>
        </w:rPr>
        <w:t>OfS’s</w:t>
      </w:r>
      <w:proofErr w:type="spellEnd"/>
      <w:r w:rsidRPr="00AB4291">
        <w:rPr>
          <w:szCs w:val="24"/>
        </w:rPr>
        <w:t xml:space="preserve"> primary aim is </w:t>
      </w:r>
      <w:r w:rsidR="001D6857">
        <w:t>‘</w:t>
      </w:r>
      <w:r w:rsidR="001D6857" w:rsidRPr="001D6857">
        <w:rPr>
          <w:i/>
          <w:iCs/>
        </w:rPr>
        <w:t>to ensure that every student, whatever their background, has a fulfilling experience of higher education that enriches their lives and careers</w:t>
      </w:r>
      <w:r w:rsidR="001D6857">
        <w:t>’ (</w:t>
      </w:r>
      <w:proofErr w:type="spellStart"/>
      <w:r w:rsidR="00AE7171">
        <w:fldChar w:fldCharType="begin"/>
      </w:r>
      <w:r w:rsidR="00AE7171">
        <w:instrText>HYPERLINK "https://www.officeforstudents.org.uk/publications/office-for-students-strategy-2022-to-2025/"</w:instrText>
      </w:r>
      <w:r w:rsidR="00AE7171">
        <w:fldChar w:fldCharType="separate"/>
      </w:r>
      <w:r w:rsidR="001D6857" w:rsidRPr="00326B50">
        <w:rPr>
          <w:rStyle w:val="Hyperlink"/>
          <w:rFonts w:cs="Calibri"/>
          <w:szCs w:val="24"/>
        </w:rPr>
        <w:t>OfS</w:t>
      </w:r>
      <w:proofErr w:type="spellEnd"/>
      <w:r w:rsidR="001D6857" w:rsidRPr="00326B50">
        <w:rPr>
          <w:rStyle w:val="Hyperlink"/>
          <w:rFonts w:cs="Calibri"/>
          <w:szCs w:val="24"/>
        </w:rPr>
        <w:t xml:space="preserve"> Strategy 2022 to 2025</w:t>
      </w:r>
      <w:r w:rsidR="00AE7171">
        <w:rPr>
          <w:rStyle w:val="Hyperlink"/>
          <w:rFonts w:cs="Calibri"/>
          <w:szCs w:val="24"/>
        </w:rPr>
        <w:fldChar w:fldCharType="end"/>
      </w:r>
      <w:r w:rsidR="001D6857" w:rsidRPr="00C2752D">
        <w:rPr>
          <w:rFonts w:cs="Calibri"/>
          <w:szCs w:val="24"/>
        </w:rPr>
        <w:t>)</w:t>
      </w:r>
      <w:r w:rsidR="001D6857">
        <w:rPr>
          <w:rFonts w:cs="Calibri"/>
          <w:szCs w:val="24"/>
        </w:rPr>
        <w:t>.</w:t>
      </w:r>
    </w:p>
    <w:p w14:paraId="44320A79" w14:textId="77777777" w:rsidR="00401752" w:rsidRDefault="00401752" w:rsidP="00872EBC">
      <w:pPr>
        <w:spacing w:before="120"/>
        <w:contextualSpacing/>
        <w:jc w:val="both"/>
        <w:rPr>
          <w:rFonts w:eastAsia="Calibri" w:cs="Calibri"/>
          <w:szCs w:val="24"/>
        </w:rPr>
      </w:pPr>
    </w:p>
    <w:p w14:paraId="63B41B2D" w14:textId="1842D24D" w:rsidR="007344FB" w:rsidRPr="00872EBC" w:rsidRDefault="00AB4291" w:rsidP="00872EBC">
      <w:pPr>
        <w:spacing w:before="120"/>
        <w:contextualSpacing/>
        <w:jc w:val="both"/>
        <w:rPr>
          <w:szCs w:val="24"/>
        </w:rPr>
      </w:pPr>
      <w:r w:rsidRPr="00AB4291">
        <w:rPr>
          <w:szCs w:val="24"/>
        </w:rPr>
        <w:t>All publicly funded HE providers in England are required, in accordance with section 4(5) of the Higher Education and Research Act 2017 (HERA)</w:t>
      </w:r>
      <w:r w:rsidR="00CC649F" w:rsidRPr="00872EBC">
        <w:rPr>
          <w:szCs w:val="24"/>
        </w:rPr>
        <w:t>,</w:t>
      </w:r>
      <w:r w:rsidRPr="00AB4291">
        <w:rPr>
          <w:szCs w:val="24"/>
        </w:rPr>
        <w:t xml:space="preserve"> to register with the </w:t>
      </w:r>
      <w:proofErr w:type="spellStart"/>
      <w:r w:rsidRPr="00AB4291">
        <w:rPr>
          <w:szCs w:val="24"/>
        </w:rPr>
        <w:t>OfS</w:t>
      </w:r>
      <w:proofErr w:type="spellEnd"/>
      <w:r w:rsidRPr="00AB4291">
        <w:rPr>
          <w:szCs w:val="24"/>
        </w:rPr>
        <w:t xml:space="preserve"> by demonstrating their compliance with</w:t>
      </w:r>
      <w:r w:rsidR="009C70D2" w:rsidRPr="00872EBC">
        <w:rPr>
          <w:szCs w:val="24"/>
        </w:rPr>
        <w:t xml:space="preserve"> a set of</w:t>
      </w:r>
      <w:r w:rsidRPr="00AB4291">
        <w:rPr>
          <w:szCs w:val="24"/>
        </w:rPr>
        <w:t xml:space="preserve"> </w:t>
      </w:r>
      <w:hyperlink r:id="rId13" w:history="1">
        <w:r w:rsidRPr="00B179A0">
          <w:rPr>
            <w:rStyle w:val="Hyperlink"/>
            <w:szCs w:val="24"/>
          </w:rPr>
          <w:t>Conditions of Registration</w:t>
        </w:r>
      </w:hyperlink>
      <w:r w:rsidR="00981C78">
        <w:rPr>
          <w:szCs w:val="24"/>
        </w:rPr>
        <w:t xml:space="preserve">. </w:t>
      </w:r>
      <w:r w:rsidRPr="00AB4291">
        <w:rPr>
          <w:szCs w:val="24"/>
        </w:rPr>
        <w:t xml:space="preserve">Edge Hill University was entered into the Register of HE Providers in England in 2018. </w:t>
      </w:r>
    </w:p>
    <w:p w14:paraId="355170F7" w14:textId="10678E8C" w:rsidR="007344FB" w:rsidRPr="00872EBC" w:rsidRDefault="007344FB" w:rsidP="00872EBC">
      <w:pPr>
        <w:spacing w:before="120"/>
        <w:contextualSpacing/>
        <w:jc w:val="both"/>
        <w:rPr>
          <w:szCs w:val="24"/>
        </w:rPr>
      </w:pPr>
    </w:p>
    <w:p w14:paraId="778CC835" w14:textId="6EE98A65" w:rsidR="00F023DC" w:rsidRDefault="00F023DC" w:rsidP="00F023DC">
      <w:pPr>
        <w:spacing w:before="120"/>
        <w:contextualSpacing/>
        <w:jc w:val="both"/>
      </w:pPr>
    </w:p>
    <w:p w14:paraId="6A16F29E" w14:textId="05B1F9E6" w:rsidR="00DF343E" w:rsidRDefault="00F023DC" w:rsidP="00DF343E">
      <w:pPr>
        <w:spacing w:before="120"/>
        <w:contextualSpacing/>
        <w:jc w:val="both"/>
      </w:pPr>
      <w:r w:rsidRPr="00AB4291">
        <w:lastRenderedPageBreak/>
        <w:t xml:space="preserve">The </w:t>
      </w:r>
      <w:proofErr w:type="spellStart"/>
      <w:r w:rsidRPr="00AB4291">
        <w:t>OfS’s</w:t>
      </w:r>
      <w:proofErr w:type="spellEnd"/>
      <w:r w:rsidRPr="00AB4291">
        <w:t xml:space="preserve"> approach to regulation</w:t>
      </w:r>
      <w:r w:rsidR="00326B50" w:rsidRPr="00326B50">
        <w:t xml:space="preserve"> </w:t>
      </w:r>
      <w:r w:rsidR="00326B50">
        <w:t>is based on a set of minimum expectations, referred to as the ‘regulatory baseline’.</w:t>
      </w:r>
      <w:r w:rsidRPr="00AB4291">
        <w:t xml:space="preserve"> </w:t>
      </w:r>
      <w:r w:rsidR="00326B50">
        <w:t xml:space="preserve">The regulatory baseline is a set of expectations that represent the minimum performance to which students and taxpayers are entitled. </w:t>
      </w:r>
      <w:r w:rsidR="001D6857">
        <w:t xml:space="preserve">Regulatory expectations are </w:t>
      </w:r>
      <w:r w:rsidR="00DF343E">
        <w:t xml:space="preserve">primarily </w:t>
      </w:r>
      <w:r w:rsidR="001D6857">
        <w:t>expressed through a set of Ongoing Conditions of Registration</w:t>
      </w:r>
      <w:r w:rsidR="00DF343E">
        <w:t xml:space="preserve">, </w:t>
      </w:r>
      <w:r w:rsidR="00DF343E" w:rsidRPr="00AB4291">
        <w:t xml:space="preserve">contained within their </w:t>
      </w:r>
      <w:hyperlink r:id="rId14" w:history="1">
        <w:r w:rsidR="00DF343E">
          <w:rPr>
            <w:rStyle w:val="Hyperlink"/>
          </w:rPr>
          <w:t>Regulatory Framework</w:t>
        </w:r>
      </w:hyperlink>
      <w:r w:rsidR="00DF343E">
        <w:t>. These are the primary tool by which providers’ performance is continually monitored and assessed.</w:t>
      </w:r>
      <w:r w:rsidR="00DF343E" w:rsidRPr="00DF343E">
        <w:t xml:space="preserve"> </w:t>
      </w:r>
    </w:p>
    <w:p w14:paraId="6239E7BA" w14:textId="77777777" w:rsidR="001D6857" w:rsidRDefault="001D6857" w:rsidP="00F023DC">
      <w:pPr>
        <w:spacing w:before="120"/>
        <w:contextualSpacing/>
      </w:pPr>
    </w:p>
    <w:p w14:paraId="42E2FBB3" w14:textId="5A8A4655" w:rsidR="00DF343E" w:rsidRDefault="00DF343E" w:rsidP="00FB0CA4">
      <w:pPr>
        <w:spacing w:before="120"/>
        <w:contextualSpacing/>
        <w:jc w:val="both"/>
      </w:pPr>
      <w:r>
        <w:t xml:space="preserve">The Regulator’s approach to monitoring and intervention is </w:t>
      </w:r>
      <w:r w:rsidRPr="00211613">
        <w:rPr>
          <w:b/>
          <w:bCs/>
        </w:rPr>
        <w:t>risk-based and proportionate</w:t>
      </w:r>
      <w:r>
        <w:t xml:space="preserve">, meaning their focus is on providers considered to be ‘at risk’ of falling below the regulatory baseline in terms of performance. Those not perceived to be at risk i.e., those </w:t>
      </w:r>
      <w:r w:rsidRPr="006B6422">
        <w:t xml:space="preserve">who </w:t>
      </w:r>
      <w:r w:rsidRPr="00AB4291">
        <w:t>continue to meet the conditions of registration</w:t>
      </w:r>
      <w:r w:rsidRPr="006B6422">
        <w:t xml:space="preserve"> </w:t>
      </w:r>
      <w:r>
        <w:t>‘</w:t>
      </w:r>
      <w:r w:rsidRPr="001C4F84">
        <w:rPr>
          <w:i/>
          <w:iCs/>
        </w:rPr>
        <w:t>will find a supportive regulator that ensures success and innovation happens with little interference</w:t>
      </w:r>
      <w:r>
        <w:t>’ (</w:t>
      </w:r>
      <w:proofErr w:type="spellStart"/>
      <w:r>
        <w:t>OfS</w:t>
      </w:r>
      <w:proofErr w:type="spellEnd"/>
      <w:r>
        <w:t xml:space="preserve"> Annual Report and Accounts 2019-20, June 2020</w:t>
      </w:r>
      <w:r>
        <w:rPr>
          <w:rStyle w:val="FootnoteReference"/>
        </w:rPr>
        <w:footnoteReference w:id="3"/>
      </w:r>
      <w:r>
        <w:t xml:space="preserve">). </w:t>
      </w:r>
    </w:p>
    <w:p w14:paraId="5F5774C1" w14:textId="77777777" w:rsidR="00DF343E" w:rsidRDefault="00DF343E" w:rsidP="00FB0CA4">
      <w:pPr>
        <w:spacing w:before="120"/>
        <w:contextualSpacing/>
        <w:jc w:val="both"/>
      </w:pPr>
    </w:p>
    <w:p w14:paraId="6F5F03FF" w14:textId="77777777" w:rsidR="00DF343E" w:rsidRDefault="00DF343E" w:rsidP="00FB0CA4">
      <w:pPr>
        <w:spacing w:before="120"/>
        <w:contextualSpacing/>
        <w:jc w:val="both"/>
      </w:pPr>
      <w:r>
        <w:t xml:space="preserve">The conditions relating to Quality and Standards (the ‘B conditions’) are listed in Figure 1. </w:t>
      </w:r>
    </w:p>
    <w:p w14:paraId="77C9CE82" w14:textId="67316D48" w:rsidR="00F023DC" w:rsidRDefault="00DF343E" w:rsidP="00FB0CA4">
      <w:pPr>
        <w:spacing w:before="120"/>
        <w:contextualSpacing/>
        <w:jc w:val="both"/>
      </w:pPr>
      <w:r>
        <w:t xml:space="preserve">The </w:t>
      </w:r>
      <w:proofErr w:type="spellStart"/>
      <w:r>
        <w:t>OfS’s</w:t>
      </w:r>
      <w:proofErr w:type="spellEnd"/>
      <w:r>
        <w:t xml:space="preserve"> overall approach to regulating </w:t>
      </w:r>
      <w:r w:rsidR="00F023DC" w:rsidRPr="00AB4291">
        <w:t>quality and standards is ‘</w:t>
      </w:r>
      <w:r w:rsidR="00F023DC" w:rsidRPr="00AB4291">
        <w:rPr>
          <w:b/>
        </w:rPr>
        <w:t>principles-based’</w:t>
      </w:r>
      <w:r w:rsidR="00F023DC" w:rsidRPr="00AB4291">
        <w:t>, rather than prescriptive. This means that providers</w:t>
      </w:r>
      <w:r w:rsidR="00F023DC">
        <w:t xml:space="preserve"> </w:t>
      </w:r>
      <w:r w:rsidR="00F023DC" w:rsidRPr="00AB4291">
        <w:t>have the autonomy to establish</w:t>
      </w:r>
      <w:r w:rsidR="00F023DC" w:rsidRPr="00AB4291">
        <w:rPr>
          <w:b/>
          <w:bCs/>
        </w:rPr>
        <w:t xml:space="preserve"> </w:t>
      </w:r>
      <w:r w:rsidR="00F023DC" w:rsidRPr="00AB4291">
        <w:t>their own internal quality assurance processes</w:t>
      </w:r>
      <w:r w:rsidR="00F023DC">
        <w:t>,</w:t>
      </w:r>
      <w:r w:rsidR="00F023DC" w:rsidRPr="00AB4291">
        <w:t xml:space="preserve"> pursue excellence as they see fit</w:t>
      </w:r>
      <w:r w:rsidR="00F023DC">
        <w:t xml:space="preserve"> and deliver value for money (</w:t>
      </w:r>
      <w:proofErr w:type="spellStart"/>
      <w:r w:rsidR="00F023DC">
        <w:t>VfM</w:t>
      </w:r>
      <w:proofErr w:type="spellEnd"/>
      <w:r w:rsidR="00F023DC">
        <w:t>) for their students.</w:t>
      </w:r>
      <w:r w:rsidR="00F023DC" w:rsidRPr="00242C67">
        <w:t xml:space="preserve"> </w:t>
      </w:r>
    </w:p>
    <w:p w14:paraId="0D41128D" w14:textId="77777777" w:rsidR="00101280" w:rsidRDefault="00101280" w:rsidP="00FB0CA4">
      <w:pPr>
        <w:spacing w:before="120"/>
        <w:contextualSpacing/>
        <w:jc w:val="both"/>
      </w:pPr>
    </w:p>
    <w:p w14:paraId="30F1BC88" w14:textId="77777777" w:rsidR="00101280" w:rsidRPr="002401C6" w:rsidRDefault="00101280" w:rsidP="00FB0CA4">
      <w:pPr>
        <w:spacing w:before="120"/>
        <w:contextualSpacing/>
        <w:jc w:val="both"/>
        <w:rPr>
          <w:b/>
          <w:bCs/>
        </w:rPr>
      </w:pPr>
      <w:r w:rsidRPr="002401C6">
        <w:rPr>
          <w:b/>
          <w:bCs/>
        </w:rPr>
        <w:t>Value for Money</w:t>
      </w:r>
    </w:p>
    <w:p w14:paraId="44DA70FE" w14:textId="0F13B8B7" w:rsidR="00101280" w:rsidRPr="004F2ABA" w:rsidRDefault="00101280" w:rsidP="00FB0CA4">
      <w:pPr>
        <w:spacing w:before="120"/>
        <w:contextualSpacing/>
        <w:jc w:val="both"/>
        <w:rPr>
          <w:rFonts w:eastAsia="Calibri" w:cs="Calibri"/>
          <w:szCs w:val="24"/>
        </w:rPr>
      </w:pPr>
      <w:r>
        <w:t xml:space="preserve">The </w:t>
      </w:r>
      <w:proofErr w:type="spellStart"/>
      <w:r>
        <w:t>OfS</w:t>
      </w:r>
      <w:proofErr w:type="spellEnd"/>
      <w:r>
        <w:t xml:space="preserve"> expects all HE providers to deliver</w:t>
      </w:r>
      <w:r w:rsidRPr="00242C67">
        <w:t xml:space="preserve"> </w:t>
      </w:r>
      <w:r w:rsidR="00277FE9">
        <w:t>v</w:t>
      </w:r>
      <w:r>
        <w:t xml:space="preserve">alue for </w:t>
      </w:r>
      <w:r w:rsidR="00277FE9">
        <w:t>m</w:t>
      </w:r>
      <w:r>
        <w:t xml:space="preserve">oney </w:t>
      </w:r>
      <w:r w:rsidRPr="00242C67">
        <w:t>for students</w:t>
      </w:r>
      <w:r>
        <w:t xml:space="preserve"> and for taxpayers </w:t>
      </w:r>
      <w:r w:rsidRPr="00C2752D">
        <w:rPr>
          <w:rFonts w:cs="Calibri"/>
          <w:sz w:val="20"/>
          <w:szCs w:val="20"/>
        </w:rPr>
        <w:t>(</w:t>
      </w:r>
      <w:r w:rsidR="00326B50">
        <w:rPr>
          <w:rFonts w:cs="Calibri"/>
          <w:szCs w:val="24"/>
        </w:rPr>
        <w:t xml:space="preserve">see </w:t>
      </w:r>
      <w:hyperlink r:id="rId15" w:history="1">
        <w:proofErr w:type="spellStart"/>
        <w:r w:rsidR="00326B50" w:rsidRPr="00326B50">
          <w:rPr>
            <w:rStyle w:val="Hyperlink"/>
            <w:rFonts w:cs="Calibri"/>
            <w:szCs w:val="24"/>
          </w:rPr>
          <w:t>OfS</w:t>
        </w:r>
        <w:proofErr w:type="spellEnd"/>
        <w:r w:rsidR="00326B50" w:rsidRPr="00326B50">
          <w:rPr>
            <w:rStyle w:val="Hyperlink"/>
            <w:rFonts w:cs="Calibri"/>
            <w:szCs w:val="24"/>
          </w:rPr>
          <w:t xml:space="preserve"> Strategy 2022 to 2025</w:t>
        </w:r>
      </w:hyperlink>
      <w:r w:rsidRPr="00C2752D">
        <w:rPr>
          <w:rFonts w:cs="Calibri"/>
          <w:szCs w:val="24"/>
        </w:rPr>
        <w:t>)</w:t>
      </w:r>
      <w:r w:rsidRPr="00173AF6">
        <w:rPr>
          <w:rFonts w:eastAsia="Calibri" w:cs="Calibri"/>
          <w:szCs w:val="24"/>
        </w:rPr>
        <w:t xml:space="preserve">. </w:t>
      </w:r>
      <w:r>
        <w:rPr>
          <w:rFonts w:eastAsia="Calibri" w:cs="Calibri"/>
          <w:szCs w:val="24"/>
        </w:rPr>
        <w:t xml:space="preserve">It is up to individual providers to determine how they will deliver </w:t>
      </w:r>
      <w:r w:rsidR="00277FE9">
        <w:rPr>
          <w:rFonts w:eastAsia="Calibri" w:cs="Calibri"/>
          <w:szCs w:val="24"/>
        </w:rPr>
        <w:t>value for money</w:t>
      </w:r>
      <w:r>
        <w:rPr>
          <w:rFonts w:eastAsia="Calibri" w:cs="Calibri"/>
          <w:szCs w:val="24"/>
        </w:rPr>
        <w:t xml:space="preserve"> for their students, however</w:t>
      </w:r>
      <w:r>
        <w:rPr>
          <w:rFonts w:cs="Calibri"/>
          <w:szCs w:val="24"/>
        </w:rPr>
        <w:t xml:space="preserve"> </w:t>
      </w:r>
      <w:r w:rsidR="00DF343E">
        <w:rPr>
          <w:rFonts w:cs="Calibri"/>
          <w:szCs w:val="24"/>
        </w:rPr>
        <w:t xml:space="preserve">the </w:t>
      </w:r>
      <w:r>
        <w:rPr>
          <w:rFonts w:cs="Calibri"/>
          <w:szCs w:val="24"/>
        </w:rPr>
        <w:t xml:space="preserve">key </w:t>
      </w:r>
      <w:r w:rsidRPr="004F2ABA">
        <w:rPr>
          <w:rFonts w:cs="Calibri"/>
          <w:szCs w:val="24"/>
        </w:rPr>
        <w:t>areas</w:t>
      </w:r>
      <w:r>
        <w:rPr>
          <w:rFonts w:cs="Calibri"/>
          <w:szCs w:val="24"/>
        </w:rPr>
        <w:t xml:space="preserve"> most pertinent to academic quality are</w:t>
      </w:r>
      <w:r w:rsidRPr="004F2ABA">
        <w:rPr>
          <w:rFonts w:eastAsia="Calibri" w:cs="Calibri"/>
          <w:szCs w:val="24"/>
        </w:rPr>
        <w:t>:</w:t>
      </w:r>
    </w:p>
    <w:p w14:paraId="0B2D93F9" w14:textId="77777777" w:rsidR="00101280" w:rsidRPr="00C41237" w:rsidRDefault="00101280" w:rsidP="00101280">
      <w:pPr>
        <w:pStyle w:val="ListParagraph"/>
        <w:numPr>
          <w:ilvl w:val="0"/>
          <w:numId w:val="25"/>
        </w:numPr>
        <w:spacing w:before="120"/>
        <w:jc w:val="both"/>
        <w:rPr>
          <w:rFonts w:eastAsia="Calibri" w:cs="Calibri"/>
          <w:szCs w:val="24"/>
        </w:rPr>
      </w:pPr>
      <w:r w:rsidRPr="00C41237">
        <w:rPr>
          <w:rFonts w:eastAsia="Calibri" w:cs="Calibri"/>
          <w:szCs w:val="24"/>
        </w:rPr>
        <w:t xml:space="preserve">improving teaching </w:t>
      </w:r>
      <w:proofErr w:type="gramStart"/>
      <w:r w:rsidRPr="00C41237">
        <w:rPr>
          <w:rFonts w:eastAsia="Calibri" w:cs="Calibri"/>
          <w:szCs w:val="24"/>
        </w:rPr>
        <w:t>quality;</w:t>
      </w:r>
      <w:proofErr w:type="gramEnd"/>
      <w:r w:rsidRPr="00C41237">
        <w:rPr>
          <w:rFonts w:eastAsia="Calibri" w:cs="Calibri"/>
          <w:szCs w:val="24"/>
        </w:rPr>
        <w:t xml:space="preserve"> </w:t>
      </w:r>
    </w:p>
    <w:p w14:paraId="6E9266CF" w14:textId="77777777" w:rsidR="00101280" w:rsidRPr="001C0DFD" w:rsidRDefault="00101280" w:rsidP="00101280">
      <w:pPr>
        <w:pStyle w:val="ListParagraph"/>
        <w:numPr>
          <w:ilvl w:val="0"/>
          <w:numId w:val="25"/>
        </w:numPr>
        <w:spacing w:before="120"/>
        <w:jc w:val="both"/>
        <w:rPr>
          <w:rFonts w:eastAsia="Calibri" w:cs="Calibri"/>
          <w:szCs w:val="24"/>
        </w:rPr>
      </w:pPr>
      <w:r w:rsidRPr="00C41237">
        <w:rPr>
          <w:rFonts w:eastAsia="Calibri" w:cs="Calibri"/>
          <w:szCs w:val="24"/>
        </w:rPr>
        <w:t xml:space="preserve">protecting students as consumers; </w:t>
      </w:r>
      <w:r w:rsidRPr="001C0DFD">
        <w:rPr>
          <w:rFonts w:eastAsia="Calibri" w:cs="Calibri"/>
          <w:szCs w:val="24"/>
        </w:rPr>
        <w:t xml:space="preserve">and </w:t>
      </w:r>
    </w:p>
    <w:p w14:paraId="017F0B9D" w14:textId="77777777" w:rsidR="00101280" w:rsidRPr="00C41237" w:rsidRDefault="00101280" w:rsidP="00101280">
      <w:pPr>
        <w:pStyle w:val="ListParagraph"/>
        <w:numPr>
          <w:ilvl w:val="0"/>
          <w:numId w:val="25"/>
        </w:numPr>
        <w:spacing w:before="120"/>
        <w:jc w:val="both"/>
        <w:rPr>
          <w:rFonts w:eastAsia="Calibri" w:cs="Calibri"/>
          <w:b/>
          <w:bCs/>
          <w:szCs w:val="24"/>
        </w:rPr>
      </w:pPr>
      <w:r w:rsidRPr="00C41237">
        <w:rPr>
          <w:rFonts w:eastAsia="Calibri" w:cs="Calibri"/>
          <w:szCs w:val="24"/>
        </w:rPr>
        <w:t>securing positive employment outcomes.</w:t>
      </w:r>
    </w:p>
    <w:p w14:paraId="01ED359E" w14:textId="74C372F8" w:rsidR="00101280" w:rsidRDefault="00101280" w:rsidP="00101280">
      <w:pPr>
        <w:spacing w:before="120"/>
        <w:contextualSpacing/>
        <w:rPr>
          <w:rFonts w:eastAsia="Calibri" w:cs="Calibri"/>
          <w:szCs w:val="24"/>
        </w:rPr>
      </w:pPr>
      <w:r>
        <w:rPr>
          <w:rFonts w:eastAsia="Calibri" w:cs="Calibri"/>
          <w:szCs w:val="24"/>
        </w:rPr>
        <w:t>The processes and activities described within this Handbook</w:t>
      </w:r>
      <w:r w:rsidRPr="00BC67CB">
        <w:rPr>
          <w:rFonts w:eastAsia="Calibri" w:cs="Calibri"/>
          <w:szCs w:val="24"/>
        </w:rPr>
        <w:t xml:space="preserve"> </w:t>
      </w:r>
      <w:r>
        <w:rPr>
          <w:rFonts w:eastAsia="Calibri" w:cs="Calibri"/>
          <w:szCs w:val="24"/>
        </w:rPr>
        <w:t xml:space="preserve">are aligned to the key areas </w:t>
      </w:r>
      <w:r w:rsidR="00277FE9">
        <w:rPr>
          <w:rFonts w:eastAsia="Calibri" w:cs="Calibri"/>
          <w:szCs w:val="24"/>
        </w:rPr>
        <w:t xml:space="preserve">above </w:t>
      </w:r>
      <w:r>
        <w:rPr>
          <w:rFonts w:eastAsia="Calibri" w:cs="Calibri"/>
          <w:szCs w:val="24"/>
        </w:rPr>
        <w:t xml:space="preserve">and therefore support the University in delivering </w:t>
      </w:r>
      <w:r w:rsidR="00277FE9">
        <w:rPr>
          <w:rFonts w:eastAsia="Calibri" w:cs="Calibri"/>
          <w:szCs w:val="24"/>
        </w:rPr>
        <w:t>value for money</w:t>
      </w:r>
      <w:r>
        <w:rPr>
          <w:rFonts w:eastAsia="Calibri" w:cs="Calibri"/>
          <w:szCs w:val="24"/>
        </w:rPr>
        <w:t xml:space="preserve"> for our students. Details of the specific processes, activities and sources of evidence can be found on the key documents page of GQASC’s</w:t>
      </w:r>
      <w:r w:rsidRPr="004045B1">
        <w:rPr>
          <w:rFonts w:eastAsia="Calibri" w:cs="Calibri"/>
          <w:szCs w:val="24"/>
        </w:rPr>
        <w:t xml:space="preserve"> </w:t>
      </w:r>
      <w:r>
        <w:rPr>
          <w:rFonts w:eastAsia="Calibri" w:cs="Calibri"/>
          <w:szCs w:val="24"/>
        </w:rPr>
        <w:t>Wiki page under ‘</w:t>
      </w:r>
      <w:hyperlink r:id="rId16" w:history="1">
        <w:r w:rsidRPr="00A07A9A">
          <w:rPr>
            <w:rStyle w:val="Hyperlink"/>
            <w:rFonts w:eastAsia="Calibri" w:cs="Calibri"/>
            <w:szCs w:val="24"/>
          </w:rPr>
          <w:t>Value for Money</w:t>
        </w:r>
      </w:hyperlink>
      <w:r>
        <w:rPr>
          <w:rFonts w:eastAsia="Calibri" w:cs="Calibri"/>
          <w:szCs w:val="24"/>
        </w:rPr>
        <w:t>’.</w:t>
      </w:r>
      <w:r>
        <w:rPr>
          <w:rStyle w:val="FootnoteReference"/>
          <w:rFonts w:eastAsia="Calibri" w:cs="Calibri"/>
          <w:szCs w:val="24"/>
        </w:rPr>
        <w:footnoteReference w:id="4"/>
      </w:r>
    </w:p>
    <w:p w14:paraId="5A67E06D" w14:textId="77777777" w:rsidR="00101280" w:rsidRDefault="00101280" w:rsidP="00F023DC">
      <w:pPr>
        <w:spacing w:before="120"/>
        <w:contextualSpacing/>
        <w:jc w:val="both"/>
      </w:pPr>
    </w:p>
    <w:p w14:paraId="235AA4BF" w14:textId="063D2F11" w:rsidR="00101280" w:rsidRDefault="00A07A9A" w:rsidP="00F023DC">
      <w:pPr>
        <w:spacing w:before="120"/>
        <w:contextualSpacing/>
        <w:jc w:val="both"/>
      </w:pPr>
      <w:r w:rsidRPr="00A07A9A">
        <w:t>good practice framework for programme review processes in England. The framework aims to build on the work already undertaken by universities in reviewing courses and bringing more consistency. It aims to strengthen how universities ensure that all courses provide good value and outcomes for students, while meeting the changing needs of employers and the economy.</w:t>
      </w:r>
    </w:p>
    <w:p w14:paraId="4E51AED5" w14:textId="26155D1C" w:rsidR="00AB4291" w:rsidRPr="00AB4291" w:rsidRDefault="00E70EF1" w:rsidP="00AB4291">
      <w:pPr>
        <w:spacing w:before="120"/>
        <w:contextualSpacing/>
        <w:rPr>
          <w:b/>
          <w:bCs/>
          <w:sz w:val="20"/>
          <w:szCs w:val="20"/>
        </w:rPr>
      </w:pPr>
      <w:r w:rsidRPr="00F6022B">
        <w:rPr>
          <w:b/>
          <w:bCs/>
          <w:sz w:val="20"/>
          <w:szCs w:val="20"/>
        </w:rPr>
        <w:lastRenderedPageBreak/>
        <w:t xml:space="preserve">Figure 1: </w:t>
      </w:r>
      <w:r w:rsidR="00AB4291" w:rsidRPr="00AB4291">
        <w:rPr>
          <w:b/>
          <w:bCs/>
          <w:sz w:val="20"/>
          <w:szCs w:val="20"/>
        </w:rPr>
        <w:t xml:space="preserve">The </w:t>
      </w:r>
      <w:r w:rsidR="001C069C" w:rsidRPr="00F6022B">
        <w:rPr>
          <w:b/>
          <w:bCs/>
          <w:sz w:val="20"/>
          <w:szCs w:val="20"/>
        </w:rPr>
        <w:t>o</w:t>
      </w:r>
      <w:r w:rsidR="003479AC" w:rsidRPr="00F6022B">
        <w:rPr>
          <w:b/>
          <w:bCs/>
          <w:sz w:val="20"/>
          <w:szCs w:val="20"/>
        </w:rPr>
        <w:t xml:space="preserve">ngoing </w:t>
      </w:r>
      <w:r w:rsidR="00AB4291" w:rsidRPr="00AB4291">
        <w:rPr>
          <w:b/>
          <w:bCs/>
          <w:sz w:val="20"/>
          <w:szCs w:val="20"/>
        </w:rPr>
        <w:t>conditions for Quality (B1 – B4 &amp; B6) and Standards (B5)</w:t>
      </w:r>
    </w:p>
    <w:tbl>
      <w:tblPr>
        <w:tblStyle w:val="TableGrid"/>
        <w:tblW w:w="0" w:type="auto"/>
        <w:tblLook w:val="04A0" w:firstRow="1" w:lastRow="0" w:firstColumn="1" w:lastColumn="0" w:noHBand="0" w:noVBand="1"/>
        <w:tblCaption w:val="The ongoing conditions for Quality (B1-B4 &amp; B6) and Standards (B5)"/>
        <w:tblDescription w:val="Paragraph 1 contains B1 conditions. Paragraph 2 contains B2 conditions. Paragraph 3 contains B3 conditions. paragraph 4 contains B4 conditions and paragraph 5 contains B5 conditions."/>
      </w:tblPr>
      <w:tblGrid>
        <w:gridCol w:w="846"/>
        <w:gridCol w:w="8170"/>
      </w:tblGrid>
      <w:tr w:rsidR="00981C78" w:rsidRPr="00F14852" w14:paraId="4196AC6B" w14:textId="77777777" w:rsidTr="00995AB0">
        <w:trPr>
          <w:tblHeader/>
        </w:trPr>
        <w:tc>
          <w:tcPr>
            <w:tcW w:w="846" w:type="dxa"/>
          </w:tcPr>
          <w:p w14:paraId="110EAEB8" w14:textId="77777777" w:rsidR="00981C78" w:rsidRPr="00F14852" w:rsidRDefault="00981C78" w:rsidP="001276F3">
            <w:pPr>
              <w:pStyle w:val="BodyText"/>
              <w:rPr>
                <w:rFonts w:asciiTheme="minorHAnsi" w:hAnsiTheme="minorHAnsi" w:cstheme="minorHAnsi"/>
                <w:b/>
                <w:bCs/>
                <w:lang w:eastAsia="en-GB"/>
              </w:rPr>
            </w:pPr>
            <w:r w:rsidRPr="00F14852">
              <w:rPr>
                <w:rFonts w:asciiTheme="minorHAnsi" w:hAnsiTheme="minorHAnsi" w:cstheme="minorHAnsi"/>
                <w:b/>
                <w:bCs/>
                <w:lang w:eastAsia="en-GB"/>
              </w:rPr>
              <w:t>B1</w:t>
            </w:r>
          </w:p>
        </w:tc>
        <w:tc>
          <w:tcPr>
            <w:tcW w:w="8170" w:type="dxa"/>
          </w:tcPr>
          <w:p w14:paraId="7B51944B" w14:textId="77777777" w:rsidR="00981C78" w:rsidRPr="00981C78" w:rsidRDefault="00981C78" w:rsidP="001276F3">
            <w:pPr>
              <w:pStyle w:val="BodyText"/>
              <w:rPr>
                <w:rFonts w:asciiTheme="minorHAnsi" w:hAnsiTheme="minorHAnsi" w:cstheme="minorHAnsi"/>
                <w:sz w:val="22"/>
                <w:szCs w:val="22"/>
                <w:lang w:eastAsia="en-GB"/>
              </w:rPr>
            </w:pPr>
            <w:r w:rsidRPr="00981C78">
              <w:rPr>
                <w:rFonts w:asciiTheme="minorHAnsi" w:hAnsiTheme="minorHAnsi" w:cstheme="minorHAnsi"/>
                <w:sz w:val="22"/>
                <w:szCs w:val="22"/>
                <w:lang w:eastAsia="en-GB"/>
              </w:rPr>
              <w:t>The provider must ensure that the students registered on each higher education course receive a high-quality academic experience. A high-quality academic experience includes but is not limited to ensuring that each higher education course: </w:t>
            </w:r>
          </w:p>
          <w:p w14:paraId="03B2FE15"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 xml:space="preserve">is </w:t>
            </w:r>
            <w:proofErr w:type="gramStart"/>
            <w:r w:rsidRPr="00981C78">
              <w:rPr>
                <w:rFonts w:asciiTheme="minorHAnsi" w:hAnsiTheme="minorHAnsi" w:cstheme="minorHAnsi"/>
                <w:sz w:val="22"/>
                <w:szCs w:val="22"/>
                <w:lang w:eastAsia="en-GB"/>
              </w:rPr>
              <w:t>up-to-date;</w:t>
            </w:r>
            <w:proofErr w:type="gramEnd"/>
          </w:p>
          <w:p w14:paraId="04CA106C"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 xml:space="preserve">provides educational </w:t>
            </w:r>
            <w:proofErr w:type="gramStart"/>
            <w:r w:rsidRPr="00981C78">
              <w:rPr>
                <w:rFonts w:asciiTheme="minorHAnsi" w:hAnsiTheme="minorHAnsi" w:cstheme="minorHAnsi"/>
                <w:sz w:val="22"/>
                <w:szCs w:val="22"/>
                <w:lang w:eastAsia="en-GB"/>
              </w:rPr>
              <w:t>challenge;</w:t>
            </w:r>
            <w:proofErr w:type="gramEnd"/>
          </w:p>
          <w:p w14:paraId="56E4B9D4"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 xml:space="preserve">is </w:t>
            </w:r>
            <w:proofErr w:type="gramStart"/>
            <w:r w:rsidRPr="00981C78">
              <w:rPr>
                <w:rFonts w:asciiTheme="minorHAnsi" w:hAnsiTheme="minorHAnsi" w:cstheme="minorHAnsi"/>
                <w:sz w:val="22"/>
                <w:szCs w:val="22"/>
                <w:lang w:eastAsia="en-GB"/>
              </w:rPr>
              <w:t>coherent;</w:t>
            </w:r>
            <w:proofErr w:type="gramEnd"/>
          </w:p>
          <w:p w14:paraId="1FB9D581"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is effectively delivered; and</w:t>
            </w:r>
          </w:p>
          <w:p w14:paraId="37408763"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requires students to develop relevant skills. </w:t>
            </w:r>
          </w:p>
        </w:tc>
      </w:tr>
      <w:tr w:rsidR="00981C78" w:rsidRPr="00F14852" w14:paraId="7965B6CB" w14:textId="77777777" w:rsidTr="00995AB0">
        <w:trPr>
          <w:tblHeader/>
        </w:trPr>
        <w:tc>
          <w:tcPr>
            <w:tcW w:w="846" w:type="dxa"/>
          </w:tcPr>
          <w:p w14:paraId="4C615B57"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B2</w:t>
            </w:r>
          </w:p>
        </w:tc>
        <w:tc>
          <w:tcPr>
            <w:tcW w:w="8170" w:type="dxa"/>
          </w:tcPr>
          <w:p w14:paraId="069DAAB2" w14:textId="31FB657C"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take all reasonable steps to ensure:</w:t>
            </w:r>
          </w:p>
          <w:p w14:paraId="4067FFAE" w14:textId="287F4307" w:rsidR="00981C78" w:rsidRPr="00981C78" w:rsidRDefault="00981C78" w:rsidP="001276F3">
            <w:pPr>
              <w:pStyle w:val="BodyText"/>
              <w:numPr>
                <w:ilvl w:val="0"/>
                <w:numId w:val="34"/>
              </w:numPr>
              <w:ind w:left="742" w:hanging="382"/>
              <w:rPr>
                <w:rFonts w:asciiTheme="minorHAnsi" w:hAnsiTheme="minorHAnsi" w:cstheme="minorHAnsi"/>
                <w:sz w:val="22"/>
                <w:szCs w:val="22"/>
              </w:rPr>
            </w:pPr>
            <w:r w:rsidRPr="00981C78">
              <w:rPr>
                <w:rFonts w:asciiTheme="minorHAnsi" w:hAnsiTheme="minorHAnsi" w:cstheme="minorHAnsi"/>
                <w:sz w:val="22"/>
                <w:szCs w:val="22"/>
              </w:rPr>
              <w:t>students registered on a higher education course receive resources and support to ensure:</w:t>
            </w:r>
            <w:r w:rsidRPr="00981C78">
              <w:rPr>
                <w:rFonts w:asciiTheme="minorHAnsi" w:hAnsiTheme="minorHAnsi" w:cstheme="minorHAnsi"/>
                <w:sz w:val="22"/>
                <w:szCs w:val="22"/>
              </w:rPr>
              <w:br/>
              <w:t xml:space="preserve">a. a </w:t>
            </w:r>
            <w:proofErr w:type="gramStart"/>
            <w:r w:rsidRPr="00981C78">
              <w:rPr>
                <w:rFonts w:asciiTheme="minorHAnsi" w:hAnsiTheme="minorHAnsi" w:cstheme="minorHAnsi"/>
                <w:sz w:val="22"/>
                <w:szCs w:val="22"/>
              </w:rPr>
              <w:t>high quality</w:t>
            </w:r>
            <w:proofErr w:type="gramEnd"/>
            <w:r w:rsidRPr="00981C78">
              <w:rPr>
                <w:rFonts w:asciiTheme="minorHAnsi" w:hAnsiTheme="minorHAnsi" w:cstheme="minorHAnsi"/>
                <w:sz w:val="22"/>
                <w:szCs w:val="22"/>
              </w:rPr>
              <w:t xml:space="preserve"> academic experience for those students; and</w:t>
            </w:r>
            <w:r w:rsidRPr="00981C78">
              <w:rPr>
                <w:rFonts w:asciiTheme="minorHAnsi" w:hAnsiTheme="minorHAnsi" w:cstheme="minorHAnsi"/>
                <w:sz w:val="22"/>
                <w:szCs w:val="22"/>
              </w:rPr>
              <w:br/>
              <w:t>b. those students succeeding in and beyond higher education; and</w:t>
            </w:r>
          </w:p>
          <w:p w14:paraId="58316111" w14:textId="586EE95C" w:rsidR="00981C78" w:rsidRPr="00981C78" w:rsidRDefault="00981C78" w:rsidP="00981C78">
            <w:pPr>
              <w:pStyle w:val="BodyText"/>
              <w:numPr>
                <w:ilvl w:val="0"/>
                <w:numId w:val="34"/>
              </w:numPr>
              <w:rPr>
                <w:rFonts w:asciiTheme="minorHAnsi" w:eastAsiaTheme="minorHAnsi" w:hAnsiTheme="minorHAnsi" w:cstheme="minorHAnsi"/>
                <w:sz w:val="22"/>
                <w:szCs w:val="22"/>
              </w:rPr>
            </w:pPr>
            <w:r w:rsidRPr="00981C78">
              <w:rPr>
                <w:rFonts w:asciiTheme="minorHAnsi" w:hAnsiTheme="minorHAnsi" w:cstheme="minorHAnsi"/>
                <w:sz w:val="22"/>
                <w:szCs w:val="22"/>
              </w:rPr>
              <w:t>effective engagement with students to ensure:</w:t>
            </w:r>
            <w:r w:rsidRPr="00981C78">
              <w:rPr>
                <w:rFonts w:asciiTheme="minorHAnsi" w:hAnsiTheme="minorHAnsi" w:cstheme="minorHAnsi"/>
                <w:sz w:val="22"/>
                <w:szCs w:val="22"/>
              </w:rPr>
              <w:br/>
              <w:t xml:space="preserve">a. a </w:t>
            </w:r>
            <w:proofErr w:type="gramStart"/>
            <w:r w:rsidRPr="00981C78">
              <w:rPr>
                <w:rFonts w:asciiTheme="minorHAnsi" w:hAnsiTheme="minorHAnsi" w:cstheme="minorHAnsi"/>
                <w:sz w:val="22"/>
                <w:szCs w:val="22"/>
              </w:rPr>
              <w:t>high quality</w:t>
            </w:r>
            <w:proofErr w:type="gramEnd"/>
            <w:r w:rsidRPr="00981C78">
              <w:rPr>
                <w:rFonts w:asciiTheme="minorHAnsi" w:hAnsiTheme="minorHAnsi" w:cstheme="minorHAnsi"/>
                <w:sz w:val="22"/>
                <w:szCs w:val="22"/>
              </w:rPr>
              <w:t xml:space="preserve"> academic experience for those students; and</w:t>
            </w:r>
            <w:r w:rsidRPr="00981C78">
              <w:rPr>
                <w:rFonts w:asciiTheme="minorHAnsi" w:hAnsiTheme="minorHAnsi" w:cstheme="minorHAnsi"/>
                <w:sz w:val="22"/>
                <w:szCs w:val="22"/>
              </w:rPr>
              <w:br/>
              <w:t>b. those students succeed in and beyond higher education.</w:t>
            </w:r>
          </w:p>
        </w:tc>
      </w:tr>
      <w:tr w:rsidR="00981C78" w:rsidRPr="00F14852" w14:paraId="15CFEE2A" w14:textId="77777777" w:rsidTr="00995AB0">
        <w:trPr>
          <w:tblHeader/>
        </w:trPr>
        <w:tc>
          <w:tcPr>
            <w:tcW w:w="846" w:type="dxa"/>
          </w:tcPr>
          <w:p w14:paraId="4E227FFB"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B3</w:t>
            </w:r>
          </w:p>
        </w:tc>
        <w:tc>
          <w:tcPr>
            <w:tcW w:w="8170" w:type="dxa"/>
          </w:tcPr>
          <w:p w14:paraId="0F88FFF4" w14:textId="267539B5"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 xml:space="preserve">The provider must deliver successful outcomes for </w:t>
            </w:r>
            <w:proofErr w:type="gramStart"/>
            <w:r w:rsidRPr="00981C78">
              <w:rPr>
                <w:rFonts w:asciiTheme="minorHAnsi" w:hAnsiTheme="minorHAnsi" w:cstheme="minorHAnsi"/>
                <w:sz w:val="22"/>
                <w:szCs w:val="22"/>
              </w:rPr>
              <w:t>all of</w:t>
            </w:r>
            <w:proofErr w:type="gramEnd"/>
            <w:r w:rsidRPr="00981C78">
              <w:rPr>
                <w:rFonts w:asciiTheme="minorHAnsi" w:hAnsiTheme="minorHAnsi" w:cstheme="minorHAnsi"/>
                <w:sz w:val="22"/>
                <w:szCs w:val="22"/>
              </w:rPr>
              <w:t xml:space="preserve"> its students, which are </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and valued by employers, and/or enable further study.</w:t>
            </w:r>
          </w:p>
        </w:tc>
      </w:tr>
      <w:tr w:rsidR="00981C78" w:rsidRPr="00F14852" w14:paraId="742798D3" w14:textId="77777777" w:rsidTr="00995AB0">
        <w:trPr>
          <w:tblHeader/>
        </w:trPr>
        <w:tc>
          <w:tcPr>
            <w:tcW w:w="846" w:type="dxa"/>
          </w:tcPr>
          <w:p w14:paraId="64F06F69"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B4</w:t>
            </w:r>
          </w:p>
        </w:tc>
        <w:tc>
          <w:tcPr>
            <w:tcW w:w="8170" w:type="dxa"/>
          </w:tcPr>
          <w:p w14:paraId="76EF0B26" w14:textId="77777777"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ensure that:</w:t>
            </w:r>
          </w:p>
          <w:p w14:paraId="4B8BA23F"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 xml:space="preserve">students are assessed </w:t>
            </w:r>
            <w:proofErr w:type="gramStart"/>
            <w:r w:rsidRPr="00981C78">
              <w:rPr>
                <w:rFonts w:asciiTheme="minorHAnsi" w:hAnsiTheme="minorHAnsi" w:cstheme="minorHAnsi"/>
                <w:sz w:val="22"/>
                <w:szCs w:val="22"/>
              </w:rPr>
              <w:t>effectively;</w:t>
            </w:r>
            <w:proofErr w:type="gramEnd"/>
          </w:p>
          <w:p w14:paraId="46DC2506"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 xml:space="preserve">each assessment is valid and </w:t>
            </w:r>
            <w:proofErr w:type="gramStart"/>
            <w:r w:rsidRPr="00981C78">
              <w:rPr>
                <w:rFonts w:asciiTheme="minorHAnsi" w:hAnsiTheme="minorHAnsi" w:cstheme="minorHAnsi"/>
                <w:sz w:val="22"/>
                <w:szCs w:val="22"/>
              </w:rPr>
              <w:t>reliable;</w:t>
            </w:r>
            <w:proofErr w:type="gramEnd"/>
          </w:p>
          <w:p w14:paraId="068544BB"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 xml:space="preserve">academic regulations are designed to ensure that relevant awards are </w:t>
            </w:r>
            <w:proofErr w:type="gramStart"/>
            <w:r w:rsidRPr="00981C78">
              <w:rPr>
                <w:rFonts w:asciiTheme="minorHAnsi" w:hAnsiTheme="minorHAnsi" w:cstheme="minorHAnsi"/>
                <w:sz w:val="22"/>
                <w:szCs w:val="22"/>
              </w:rPr>
              <w:t>credible;</w:t>
            </w:r>
            <w:proofErr w:type="gramEnd"/>
          </w:p>
          <w:p w14:paraId="41AA5C7A"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academic regulations are designed to ensure effective assessment of technical proficiency in the English language in a manner that appropriately reflects the level and content of the course; and</w:t>
            </w:r>
          </w:p>
          <w:p w14:paraId="0B987E07" w14:textId="020E6073" w:rsidR="00981C78" w:rsidRPr="00981C78" w:rsidRDefault="00981C78" w:rsidP="001276F3">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relevant awards granted to students are credible at the point of being granted and when compared to those granted previously.</w:t>
            </w:r>
          </w:p>
        </w:tc>
      </w:tr>
      <w:tr w:rsidR="00981C78" w:rsidRPr="00F14852" w14:paraId="43CE856C" w14:textId="77777777" w:rsidTr="00995AB0">
        <w:trPr>
          <w:tblHeader/>
        </w:trPr>
        <w:tc>
          <w:tcPr>
            <w:tcW w:w="846" w:type="dxa"/>
          </w:tcPr>
          <w:p w14:paraId="2E1EBF07" w14:textId="77777777" w:rsidR="00981C78" w:rsidRPr="00F14852" w:rsidRDefault="00981C78" w:rsidP="001276F3">
            <w:pPr>
              <w:pStyle w:val="BodyText"/>
              <w:rPr>
                <w:rFonts w:asciiTheme="minorHAnsi" w:hAnsiTheme="minorHAnsi" w:cstheme="minorHAnsi"/>
              </w:rPr>
            </w:pPr>
            <w:r w:rsidRPr="00F14852">
              <w:rPr>
                <w:rFonts w:asciiTheme="minorHAnsi" w:hAnsiTheme="minorHAnsi" w:cstheme="minorHAnsi"/>
                <w:b/>
                <w:bCs/>
              </w:rPr>
              <w:t>B5</w:t>
            </w:r>
          </w:p>
          <w:p w14:paraId="6C934A6E" w14:textId="77777777" w:rsidR="00981C78" w:rsidRPr="00F14852" w:rsidRDefault="00981C78" w:rsidP="001276F3">
            <w:pPr>
              <w:pStyle w:val="BodyText"/>
              <w:rPr>
                <w:rFonts w:asciiTheme="minorHAnsi" w:hAnsiTheme="minorHAnsi" w:cstheme="minorHAnsi"/>
                <w:lang w:eastAsia="en-GB"/>
              </w:rPr>
            </w:pPr>
          </w:p>
        </w:tc>
        <w:tc>
          <w:tcPr>
            <w:tcW w:w="8170" w:type="dxa"/>
          </w:tcPr>
          <w:p w14:paraId="699B4476" w14:textId="77777777"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ensure that, in respect of any relevant awards granted to students who complete a higher education course provided by, or on behalf of, the provider (</w:t>
            </w:r>
            <w:proofErr w:type="gramStart"/>
            <w:r w:rsidRPr="00981C78">
              <w:rPr>
                <w:rFonts w:asciiTheme="minorHAnsi" w:hAnsiTheme="minorHAnsi" w:cstheme="minorHAnsi"/>
                <w:sz w:val="22"/>
                <w:szCs w:val="22"/>
              </w:rPr>
              <w:t>whether or not</w:t>
            </w:r>
            <w:proofErr w:type="gramEnd"/>
            <w:r w:rsidRPr="00981C78">
              <w:rPr>
                <w:rFonts w:asciiTheme="minorHAnsi" w:hAnsiTheme="minorHAnsi" w:cstheme="minorHAnsi"/>
                <w:sz w:val="22"/>
                <w:szCs w:val="22"/>
              </w:rPr>
              <w:t xml:space="preserve"> the provider is the awarding body):</w:t>
            </w:r>
          </w:p>
          <w:p w14:paraId="049E4F4B" w14:textId="77777777" w:rsidR="00981C78" w:rsidRPr="00981C78" w:rsidRDefault="00981C78" w:rsidP="00981C78">
            <w:pPr>
              <w:pStyle w:val="BodyText"/>
              <w:numPr>
                <w:ilvl w:val="0"/>
                <w:numId w:val="36"/>
              </w:numPr>
              <w:rPr>
                <w:rFonts w:asciiTheme="minorHAnsi" w:hAnsiTheme="minorHAnsi" w:cstheme="minorHAnsi"/>
                <w:sz w:val="22"/>
                <w:szCs w:val="22"/>
              </w:rPr>
            </w:pPr>
            <w:r w:rsidRPr="00981C78">
              <w:rPr>
                <w:rFonts w:asciiTheme="minorHAnsi" w:hAnsiTheme="minorHAnsi" w:cstheme="minorHAnsi"/>
                <w:sz w:val="22"/>
                <w:szCs w:val="22"/>
              </w:rPr>
              <w:t>any standards set appropriately reflect any applicable sector-</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standards; and</w:t>
            </w:r>
          </w:p>
          <w:p w14:paraId="71256CDE" w14:textId="7528E3B0" w:rsidR="00981C78" w:rsidRPr="00981C78" w:rsidRDefault="00981C78" w:rsidP="00981C78">
            <w:pPr>
              <w:pStyle w:val="BodyText"/>
              <w:numPr>
                <w:ilvl w:val="0"/>
                <w:numId w:val="36"/>
              </w:numPr>
              <w:rPr>
                <w:rFonts w:asciiTheme="minorHAnsi" w:eastAsiaTheme="minorHAnsi" w:hAnsiTheme="minorHAnsi" w:cstheme="minorHAnsi"/>
                <w:sz w:val="22"/>
                <w:szCs w:val="22"/>
              </w:rPr>
            </w:pPr>
            <w:r w:rsidRPr="00981C78">
              <w:rPr>
                <w:rFonts w:asciiTheme="minorHAnsi" w:hAnsiTheme="minorHAnsi" w:cstheme="minorHAnsi"/>
                <w:sz w:val="22"/>
                <w:szCs w:val="22"/>
              </w:rPr>
              <w:t>awards are only granted to students whose knowledge and skills appropriately reflect any applicable sector-</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standards.</w:t>
            </w:r>
          </w:p>
        </w:tc>
      </w:tr>
    </w:tbl>
    <w:p w14:paraId="2EF21259" w14:textId="77777777" w:rsidR="00D9017B" w:rsidRPr="00D9017B" w:rsidRDefault="00D9017B" w:rsidP="00D9017B">
      <w:pPr>
        <w:spacing w:before="120"/>
        <w:contextualSpacing/>
      </w:pPr>
    </w:p>
    <w:p w14:paraId="7D6D0FE3" w14:textId="55B276F1" w:rsidR="004B0CC1" w:rsidRDefault="00D9017B" w:rsidP="008A2C8C">
      <w:pPr>
        <w:pStyle w:val="Heading2"/>
      </w:pPr>
      <w:bookmarkStart w:id="5" w:name="_Toc146807843"/>
      <w:r w:rsidRPr="006B03A7">
        <w:t>Teaching Excellence and Student Outcomes Framework</w:t>
      </w:r>
      <w:bookmarkEnd w:id="5"/>
    </w:p>
    <w:p w14:paraId="5ABE73AB" w14:textId="5D2485FE" w:rsidR="00277FE9" w:rsidRPr="00277FE9" w:rsidRDefault="00277FE9" w:rsidP="00277FE9">
      <w:pPr>
        <w:contextualSpacing/>
        <w:jc w:val="both"/>
      </w:pPr>
      <w:r>
        <w:t>T</w:t>
      </w:r>
      <w:r w:rsidRPr="00277FE9">
        <w:t xml:space="preserve">he </w:t>
      </w:r>
      <w:hyperlink r:id="rId17" w:history="1">
        <w:r w:rsidRPr="00277FE9">
          <w:rPr>
            <w:rStyle w:val="Hyperlink"/>
          </w:rPr>
          <w:t>Teaching Excellence Framework</w:t>
        </w:r>
      </w:hyperlink>
      <w:r w:rsidRPr="00277FE9">
        <w:t xml:space="preserve"> (TEF) is a scheme run by the Office for Students (</w:t>
      </w:r>
      <w:proofErr w:type="spellStart"/>
      <w:r w:rsidRPr="00277FE9">
        <w:t>OfS</w:t>
      </w:r>
      <w:proofErr w:type="spellEnd"/>
      <w:r w:rsidRPr="00277FE9">
        <w:t xml:space="preserve">) that aims to encourage </w:t>
      </w:r>
      <w:r>
        <w:t>HE</w:t>
      </w:r>
      <w:r w:rsidRPr="00277FE9">
        <w:t xml:space="preserve"> providers to improve and deliver excellence in the areas that students care about the most: teaching, learning and achieving positive outcomes from their studies.</w:t>
      </w:r>
      <w:r>
        <w:t xml:space="preserve"> As part of the TEF exercise, the </w:t>
      </w:r>
      <w:proofErr w:type="spellStart"/>
      <w:r>
        <w:t>OfS</w:t>
      </w:r>
      <w:proofErr w:type="spellEnd"/>
      <w:r w:rsidRPr="00277FE9">
        <w:t xml:space="preserve"> assess</w:t>
      </w:r>
      <w:r>
        <w:t>es</w:t>
      </w:r>
      <w:r w:rsidRPr="00277FE9">
        <w:t xml:space="preserve"> and rat</w:t>
      </w:r>
      <w:r>
        <w:t xml:space="preserve">es providers’ </w:t>
      </w:r>
      <w:r w:rsidRPr="00277FE9">
        <w:t xml:space="preserve">excellence above </w:t>
      </w:r>
      <w:r w:rsidR="00FB0CA4">
        <w:t>the minimum baseline expectations</w:t>
      </w:r>
      <w:r w:rsidRPr="00277FE9">
        <w:t xml:space="preserve"> for quality and standards.</w:t>
      </w:r>
      <w:r>
        <w:t xml:space="preserve"> </w:t>
      </w:r>
      <w:r w:rsidRPr="00277FE9">
        <w:t>Providers receive an overall rating as well as two underpinning ratings – one for the student experience and one for student outcomes.</w:t>
      </w:r>
    </w:p>
    <w:p w14:paraId="7B684D7E" w14:textId="79DF4A95" w:rsidR="00EA4B06" w:rsidRDefault="00277FE9" w:rsidP="004A4E36">
      <w:pPr>
        <w:contextualSpacing/>
        <w:jc w:val="both"/>
      </w:pPr>
      <w:r w:rsidRPr="00277FE9">
        <w:lastRenderedPageBreak/>
        <w:t>The ratings reflect the extent to which a provider delivers an excellent experience and outcomes for its mix of undergraduate students and across the range of its undergraduate courses and subjects.</w:t>
      </w:r>
      <w:r>
        <w:t xml:space="preserve"> </w:t>
      </w:r>
      <w:r w:rsidR="00D20105" w:rsidRPr="00D20105">
        <w:t>There are three ratings categories</w:t>
      </w:r>
      <w:r>
        <w:t xml:space="preserve"> </w:t>
      </w:r>
      <w:r w:rsidR="00D20105" w:rsidRPr="00D20105">
        <w:t>– Bronze, </w:t>
      </w:r>
      <w:proofErr w:type="gramStart"/>
      <w:r w:rsidR="00D20105" w:rsidRPr="00D20105">
        <w:t>Silver</w:t>
      </w:r>
      <w:proofErr w:type="gramEnd"/>
      <w:r w:rsidR="00D20105" w:rsidRPr="00D20105">
        <w:t> and Gold.</w:t>
      </w:r>
      <w:r w:rsidR="00D20105">
        <w:t xml:space="preserve"> </w:t>
      </w:r>
      <w:r w:rsidR="004A4E36" w:rsidRPr="004A4E36">
        <w:t>Where there is an absence of excellence</w:t>
      </w:r>
      <w:r w:rsidR="004A4E36">
        <w:t xml:space="preserve"> beyond baseline expectations</w:t>
      </w:r>
      <w:r w:rsidR="004A4E36" w:rsidRPr="004A4E36">
        <w:t xml:space="preserve">, a TEF rating </w:t>
      </w:r>
      <w:r w:rsidR="004A4E36">
        <w:t>is</w:t>
      </w:r>
      <w:r w:rsidR="004A4E36" w:rsidRPr="004A4E36">
        <w:t xml:space="preserve"> not awarded. </w:t>
      </w:r>
      <w:r w:rsidR="004A4E36">
        <w:t xml:space="preserve"> </w:t>
      </w:r>
      <w:r w:rsidR="00D20105">
        <w:t xml:space="preserve"> </w:t>
      </w:r>
      <w:r w:rsidR="004A4E36">
        <w:t>Assessment takes place every 4 years.</w:t>
      </w:r>
      <w:r w:rsidR="00FB0CA4">
        <w:t xml:space="preserve">  </w:t>
      </w:r>
    </w:p>
    <w:p w14:paraId="254ED2B8" w14:textId="77777777" w:rsidR="004B0CC1" w:rsidRDefault="004B0CC1" w:rsidP="00173AF6">
      <w:pPr>
        <w:spacing w:before="120"/>
        <w:contextualSpacing/>
        <w:jc w:val="both"/>
      </w:pPr>
    </w:p>
    <w:p w14:paraId="61E858FA" w14:textId="76C1B560" w:rsidR="009B33D0" w:rsidRPr="007C15C6" w:rsidRDefault="009B33D0" w:rsidP="008A2C8C">
      <w:pPr>
        <w:pStyle w:val="Heading2"/>
        <w:rPr>
          <w:shd w:val="clear" w:color="auto" w:fill="FFFFFF"/>
        </w:rPr>
      </w:pPr>
      <w:bookmarkStart w:id="6" w:name="_Toc146807844"/>
      <w:r w:rsidRPr="007C15C6">
        <w:rPr>
          <w:shd w:val="clear" w:color="auto" w:fill="FFFFFF"/>
        </w:rPr>
        <w:t>Office for Standards in Education, Children's Services and Skills (Ofsted)</w:t>
      </w:r>
      <w:bookmarkEnd w:id="6"/>
    </w:p>
    <w:p w14:paraId="437377D1" w14:textId="7722CE55" w:rsidR="00D51E4A" w:rsidRPr="007C15C6" w:rsidRDefault="009B33D0"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Ofsted regulate</w:t>
      </w:r>
      <w:r w:rsidR="004A4E36">
        <w:rPr>
          <w:rFonts w:asciiTheme="minorHAnsi" w:hAnsiTheme="minorHAnsi" w:cstheme="minorHAnsi"/>
          <w:szCs w:val="24"/>
        </w:rPr>
        <w:t>s</w:t>
      </w:r>
      <w:r w:rsidRPr="007C15C6">
        <w:rPr>
          <w:rFonts w:asciiTheme="minorHAnsi" w:hAnsiTheme="minorHAnsi" w:cstheme="minorHAnsi"/>
          <w:szCs w:val="24"/>
        </w:rPr>
        <w:t xml:space="preserve"> and inspect</w:t>
      </w:r>
      <w:r w:rsidR="004A4E36">
        <w:rPr>
          <w:rFonts w:asciiTheme="minorHAnsi" w:hAnsiTheme="minorHAnsi" w:cstheme="minorHAnsi"/>
          <w:szCs w:val="24"/>
        </w:rPr>
        <w:t>s</w:t>
      </w:r>
      <w:r w:rsidRPr="007C15C6">
        <w:rPr>
          <w:rFonts w:asciiTheme="minorHAnsi" w:hAnsiTheme="minorHAnsi" w:cstheme="minorHAnsi"/>
          <w:szCs w:val="24"/>
        </w:rPr>
        <w:t xml:space="preserve"> </w:t>
      </w:r>
      <w:r w:rsidR="00A417C8" w:rsidRPr="007C15C6">
        <w:rPr>
          <w:rFonts w:asciiTheme="minorHAnsi" w:hAnsiTheme="minorHAnsi" w:cstheme="minorHAnsi"/>
          <w:szCs w:val="24"/>
        </w:rPr>
        <w:t xml:space="preserve">Higher Education Institutions </w:t>
      </w:r>
      <w:r w:rsidRPr="007C15C6">
        <w:rPr>
          <w:rFonts w:asciiTheme="minorHAnsi" w:hAnsiTheme="minorHAnsi" w:cstheme="minorHAnsi"/>
          <w:szCs w:val="24"/>
        </w:rPr>
        <w:t>that provide education and training services in England. While ultimate responsibility for the quality assurance of Initial Teacher Education programmes resides with AQEC, operational arrangements for external Ofsted inspection are managed by the Faculty of Education</w:t>
      </w:r>
      <w:r w:rsidR="00A417C8" w:rsidRPr="007C15C6">
        <w:rPr>
          <w:rFonts w:asciiTheme="minorHAnsi" w:hAnsiTheme="minorHAnsi" w:cstheme="minorHAnsi"/>
          <w:szCs w:val="24"/>
        </w:rPr>
        <w:t>,</w:t>
      </w:r>
      <w:r w:rsidRPr="007C15C6">
        <w:rPr>
          <w:rFonts w:asciiTheme="minorHAnsi" w:hAnsiTheme="minorHAnsi" w:cstheme="minorHAnsi"/>
          <w:szCs w:val="24"/>
        </w:rPr>
        <w:t xml:space="preserve"> with oversight by the Education Faculty Board</w:t>
      </w:r>
      <w:r w:rsidR="00A417C8" w:rsidRPr="007C15C6">
        <w:rPr>
          <w:rFonts w:asciiTheme="minorHAnsi" w:hAnsiTheme="minorHAnsi" w:cstheme="minorHAnsi"/>
          <w:szCs w:val="24"/>
        </w:rPr>
        <w:t>.</w:t>
      </w:r>
      <w:r w:rsidR="008F6F7C" w:rsidRPr="007C15C6">
        <w:rPr>
          <w:rFonts w:asciiTheme="minorHAnsi" w:hAnsiTheme="minorHAnsi" w:cstheme="minorHAnsi"/>
          <w:szCs w:val="24"/>
        </w:rPr>
        <w:t xml:space="preserve"> </w:t>
      </w:r>
    </w:p>
    <w:p w14:paraId="157AB444" w14:textId="77777777" w:rsidR="00D51E4A" w:rsidRPr="007C15C6" w:rsidRDefault="00D51E4A" w:rsidP="000E7136">
      <w:pPr>
        <w:spacing w:before="120"/>
        <w:contextualSpacing/>
        <w:jc w:val="both"/>
        <w:rPr>
          <w:rFonts w:asciiTheme="minorHAnsi" w:hAnsiTheme="minorHAnsi" w:cstheme="minorHAnsi"/>
          <w:szCs w:val="24"/>
          <w:highlight w:val="yellow"/>
        </w:rPr>
      </w:pPr>
    </w:p>
    <w:p w14:paraId="0EE3627A" w14:textId="79A98346" w:rsidR="00D51E4A" w:rsidRPr="007C15C6" w:rsidRDefault="001141CB"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 xml:space="preserve">Additionally, </w:t>
      </w:r>
      <w:r w:rsidR="00D51E4A" w:rsidRPr="007C15C6">
        <w:rPr>
          <w:rFonts w:asciiTheme="minorHAnsi" w:hAnsiTheme="minorHAnsi" w:cstheme="minorHAnsi"/>
          <w:szCs w:val="24"/>
        </w:rPr>
        <w:t>Ofsted</w:t>
      </w:r>
      <w:r w:rsidRPr="007C15C6">
        <w:rPr>
          <w:rFonts w:asciiTheme="minorHAnsi" w:hAnsiTheme="minorHAnsi" w:cstheme="minorHAnsi"/>
          <w:szCs w:val="24"/>
        </w:rPr>
        <w:t>,</w:t>
      </w:r>
      <w:r w:rsidR="00D51E4A" w:rsidRPr="007C15C6">
        <w:rPr>
          <w:rFonts w:asciiTheme="minorHAnsi" w:hAnsiTheme="minorHAnsi" w:cstheme="minorHAnsi"/>
          <w:szCs w:val="24"/>
        </w:rPr>
        <w:t xml:space="preserve"> in conjunction with other bodies</w:t>
      </w:r>
      <w:r w:rsidRPr="007C15C6">
        <w:rPr>
          <w:rStyle w:val="FootnoteReference"/>
          <w:rFonts w:asciiTheme="minorHAnsi" w:hAnsiTheme="minorHAnsi" w:cstheme="minorHAnsi"/>
          <w:szCs w:val="24"/>
        </w:rPr>
        <w:footnoteReference w:id="5"/>
      </w:r>
      <w:r w:rsidR="00D51E4A" w:rsidRPr="007C15C6">
        <w:rPr>
          <w:rFonts w:asciiTheme="minorHAnsi" w:hAnsiTheme="minorHAnsi" w:cstheme="minorHAnsi"/>
          <w:szCs w:val="24"/>
        </w:rPr>
        <w:t>, is responsible for the oversight of apprenticeship provision</w:t>
      </w:r>
      <w:r w:rsidRPr="007C15C6">
        <w:rPr>
          <w:rFonts w:asciiTheme="minorHAnsi" w:hAnsiTheme="minorHAnsi" w:cstheme="minorHAnsi"/>
          <w:szCs w:val="24"/>
        </w:rPr>
        <w:t>. T</w:t>
      </w:r>
      <w:r w:rsidR="00D51E4A" w:rsidRPr="007C15C6">
        <w:rPr>
          <w:rFonts w:asciiTheme="minorHAnsi" w:hAnsiTheme="minorHAnsi" w:cstheme="minorHAnsi"/>
          <w:szCs w:val="24"/>
        </w:rPr>
        <w:t>hey inspect the quality of apprenticeship training that is delivered by training providers to ensure it is high-quality and meets the needs of employers and apprentices</w:t>
      </w:r>
      <w:r w:rsidRPr="007C15C6">
        <w:rPr>
          <w:rFonts w:asciiTheme="minorHAnsi" w:hAnsiTheme="minorHAnsi" w:cstheme="minorHAnsi"/>
          <w:szCs w:val="24"/>
        </w:rPr>
        <w:t xml:space="preserve">; </w:t>
      </w:r>
      <w:r w:rsidR="00D51E4A" w:rsidRPr="007C15C6">
        <w:rPr>
          <w:rFonts w:asciiTheme="minorHAnsi" w:hAnsiTheme="minorHAnsi" w:cstheme="minorHAnsi"/>
          <w:szCs w:val="24"/>
        </w:rPr>
        <w:t xml:space="preserve">this includes higher apprenticeships (level 5) and degree apprenticeships (level 6) which are also regulated by the Office for Students. Ofsted is responsible for inspecting the quality of apprenticeship training provision and publishing the outcomes of these inspections. Where an apprenticeship training provider is registered with the </w:t>
      </w:r>
      <w:proofErr w:type="spellStart"/>
      <w:r w:rsidR="00D51E4A" w:rsidRPr="007C15C6">
        <w:rPr>
          <w:rFonts w:asciiTheme="minorHAnsi" w:hAnsiTheme="minorHAnsi" w:cstheme="minorHAnsi"/>
          <w:szCs w:val="24"/>
        </w:rPr>
        <w:t>OfS</w:t>
      </w:r>
      <w:proofErr w:type="spellEnd"/>
      <w:r w:rsidR="00D51E4A" w:rsidRPr="007C15C6">
        <w:rPr>
          <w:rFonts w:asciiTheme="minorHAnsi" w:hAnsiTheme="minorHAnsi" w:cstheme="minorHAnsi"/>
          <w:szCs w:val="24"/>
        </w:rPr>
        <w:t xml:space="preserve"> they will </w:t>
      </w:r>
      <w:r w:rsidRPr="007C15C6">
        <w:rPr>
          <w:rFonts w:asciiTheme="minorHAnsi" w:hAnsiTheme="minorHAnsi" w:cstheme="minorHAnsi"/>
          <w:szCs w:val="24"/>
        </w:rPr>
        <w:t xml:space="preserve">also </w:t>
      </w:r>
      <w:r w:rsidR="00D51E4A" w:rsidRPr="007C15C6">
        <w:rPr>
          <w:rFonts w:asciiTheme="minorHAnsi" w:hAnsiTheme="minorHAnsi" w:cstheme="minorHAnsi"/>
          <w:szCs w:val="24"/>
        </w:rPr>
        <w:t xml:space="preserve">share relevant information with Ofsted to inform its inspection activity and its regulation of providers on its Register. </w:t>
      </w:r>
    </w:p>
    <w:p w14:paraId="3F8482C5" w14:textId="77777777" w:rsidR="00D51E4A" w:rsidRPr="007C15C6" w:rsidRDefault="00D51E4A" w:rsidP="000E7136">
      <w:pPr>
        <w:spacing w:before="120"/>
        <w:contextualSpacing/>
        <w:jc w:val="both"/>
        <w:rPr>
          <w:rFonts w:asciiTheme="minorHAnsi" w:hAnsiTheme="minorHAnsi" w:cstheme="minorHAnsi"/>
          <w:szCs w:val="24"/>
        </w:rPr>
      </w:pPr>
    </w:p>
    <w:p w14:paraId="5028C13B" w14:textId="66A41546" w:rsidR="00D51E4A" w:rsidRPr="007C15C6" w:rsidRDefault="00D51E4A"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 xml:space="preserve">In addition to </w:t>
      </w:r>
      <w:r w:rsidR="001141CB" w:rsidRPr="007C15C6">
        <w:rPr>
          <w:rFonts w:asciiTheme="minorHAnsi" w:hAnsiTheme="minorHAnsi" w:cstheme="minorHAnsi"/>
          <w:szCs w:val="24"/>
        </w:rPr>
        <w:t xml:space="preserve">full </w:t>
      </w:r>
      <w:r w:rsidRPr="007C15C6">
        <w:rPr>
          <w:rFonts w:asciiTheme="minorHAnsi" w:hAnsiTheme="minorHAnsi" w:cstheme="minorHAnsi"/>
          <w:szCs w:val="24"/>
        </w:rPr>
        <w:t xml:space="preserve">inspection activity (due within 24 months of a monitoring visit), Ofsted carries out monitoring visits to all new apprenticeship providers. </w:t>
      </w:r>
      <w:r w:rsidR="00002CB0" w:rsidRPr="007C15C6">
        <w:rPr>
          <w:rFonts w:asciiTheme="minorHAnsi" w:hAnsiTheme="minorHAnsi" w:cstheme="minorHAnsi"/>
          <w:szCs w:val="24"/>
        </w:rPr>
        <w:t>The</w:t>
      </w:r>
      <w:r w:rsidR="00002CB0">
        <w:rPr>
          <w:rFonts w:asciiTheme="minorHAnsi" w:hAnsiTheme="minorHAnsi" w:cstheme="minorHAnsi"/>
          <w:szCs w:val="24"/>
        </w:rPr>
        <w:t xml:space="preserve"> </w:t>
      </w:r>
      <w:r w:rsidR="00002CB0" w:rsidRPr="007C15C6">
        <w:rPr>
          <w:rFonts w:asciiTheme="minorHAnsi" w:hAnsiTheme="minorHAnsi" w:cstheme="minorHAnsi"/>
          <w:szCs w:val="24"/>
        </w:rPr>
        <w:t>University</w:t>
      </w:r>
      <w:r w:rsidR="00002CB0">
        <w:rPr>
          <w:rFonts w:asciiTheme="minorHAnsi" w:hAnsiTheme="minorHAnsi" w:cstheme="minorHAnsi"/>
          <w:szCs w:val="24"/>
        </w:rPr>
        <w:t xml:space="preserve">’s </w:t>
      </w:r>
      <w:r w:rsidRPr="007C15C6">
        <w:rPr>
          <w:rFonts w:asciiTheme="minorHAnsi" w:hAnsiTheme="minorHAnsi" w:cstheme="minorHAnsi"/>
          <w:szCs w:val="24"/>
        </w:rPr>
        <w:t>Ofsted Working Group for Apprenticeships (which reports to the Institutional Apprenticeship Group</w:t>
      </w:r>
      <w:r w:rsidR="001141CB" w:rsidRPr="007C15C6">
        <w:rPr>
          <w:rFonts w:asciiTheme="minorHAnsi" w:hAnsiTheme="minorHAnsi" w:cstheme="minorHAnsi"/>
          <w:szCs w:val="24"/>
        </w:rPr>
        <w:t>) oversee</w:t>
      </w:r>
      <w:r w:rsidR="00250680">
        <w:rPr>
          <w:rFonts w:asciiTheme="minorHAnsi" w:hAnsiTheme="minorHAnsi" w:cstheme="minorHAnsi"/>
          <w:szCs w:val="24"/>
        </w:rPr>
        <w:t>s</w:t>
      </w:r>
      <w:r w:rsidR="001141CB" w:rsidRPr="007C15C6">
        <w:rPr>
          <w:rFonts w:asciiTheme="minorHAnsi" w:hAnsiTheme="minorHAnsi" w:cstheme="minorHAnsi"/>
          <w:szCs w:val="24"/>
        </w:rPr>
        <w:t xml:space="preserve"> preparations and operational support for </w:t>
      </w:r>
      <w:r w:rsidR="00002CB0">
        <w:rPr>
          <w:rFonts w:asciiTheme="minorHAnsi" w:hAnsiTheme="minorHAnsi" w:cstheme="minorHAnsi"/>
          <w:szCs w:val="24"/>
        </w:rPr>
        <w:t xml:space="preserve">inspection </w:t>
      </w:r>
      <w:r w:rsidR="001141CB" w:rsidRPr="007C15C6">
        <w:rPr>
          <w:rFonts w:asciiTheme="minorHAnsi" w:hAnsiTheme="minorHAnsi" w:cstheme="minorHAnsi"/>
          <w:szCs w:val="24"/>
        </w:rPr>
        <w:t>visit</w:t>
      </w:r>
      <w:r w:rsidR="00002CB0">
        <w:rPr>
          <w:rFonts w:asciiTheme="minorHAnsi" w:hAnsiTheme="minorHAnsi" w:cstheme="minorHAnsi"/>
          <w:szCs w:val="24"/>
        </w:rPr>
        <w:t>s.</w:t>
      </w:r>
      <w:r w:rsidR="001141CB" w:rsidRPr="007C15C6">
        <w:rPr>
          <w:rFonts w:asciiTheme="minorHAnsi" w:hAnsiTheme="minorHAnsi" w:cstheme="minorHAnsi"/>
          <w:szCs w:val="24"/>
        </w:rPr>
        <w:t xml:space="preserve"> </w:t>
      </w:r>
      <w:r w:rsidR="00002CB0">
        <w:rPr>
          <w:rFonts w:asciiTheme="minorHAnsi" w:hAnsiTheme="minorHAnsi" w:cstheme="minorHAnsi"/>
          <w:szCs w:val="24"/>
        </w:rPr>
        <w:t>The University’s full inspection of apprenticeship provision is</w:t>
      </w:r>
      <w:r w:rsidR="00FB0CA4">
        <w:rPr>
          <w:rFonts w:asciiTheme="minorHAnsi" w:hAnsiTheme="minorHAnsi" w:cstheme="minorHAnsi"/>
          <w:szCs w:val="24"/>
        </w:rPr>
        <w:t xml:space="preserve"> now</w:t>
      </w:r>
      <w:r w:rsidR="00002CB0">
        <w:rPr>
          <w:rFonts w:asciiTheme="minorHAnsi" w:hAnsiTheme="minorHAnsi" w:cstheme="minorHAnsi"/>
          <w:szCs w:val="24"/>
        </w:rPr>
        <w:t xml:space="preserve"> </w:t>
      </w:r>
      <w:r w:rsidR="001141CB" w:rsidRPr="007C15C6">
        <w:rPr>
          <w:rFonts w:asciiTheme="minorHAnsi" w:hAnsiTheme="minorHAnsi" w:cstheme="minorHAnsi"/>
          <w:szCs w:val="24"/>
        </w:rPr>
        <w:t>anticipated to take place during 202</w:t>
      </w:r>
      <w:r w:rsidR="00FB0CA4">
        <w:rPr>
          <w:rFonts w:asciiTheme="minorHAnsi" w:hAnsiTheme="minorHAnsi" w:cstheme="minorHAnsi"/>
          <w:szCs w:val="24"/>
        </w:rPr>
        <w:t>3</w:t>
      </w:r>
      <w:r w:rsidR="001141CB" w:rsidRPr="007C15C6">
        <w:rPr>
          <w:rFonts w:asciiTheme="minorHAnsi" w:hAnsiTheme="minorHAnsi" w:cstheme="minorHAnsi"/>
          <w:szCs w:val="24"/>
        </w:rPr>
        <w:t>/2</w:t>
      </w:r>
      <w:r w:rsidR="00FB0CA4">
        <w:rPr>
          <w:rFonts w:asciiTheme="minorHAnsi" w:hAnsiTheme="minorHAnsi" w:cstheme="minorHAnsi"/>
          <w:szCs w:val="24"/>
        </w:rPr>
        <w:t>4</w:t>
      </w:r>
      <w:r w:rsidR="001141CB" w:rsidRPr="007C15C6">
        <w:rPr>
          <w:rFonts w:asciiTheme="minorHAnsi" w:hAnsiTheme="minorHAnsi" w:cstheme="minorHAnsi"/>
          <w:szCs w:val="24"/>
        </w:rPr>
        <w:t>.</w:t>
      </w:r>
    </w:p>
    <w:p w14:paraId="40B21F4C" w14:textId="77777777" w:rsidR="005D4D9C" w:rsidRPr="00780261" w:rsidRDefault="005D4D9C" w:rsidP="008A2C8C">
      <w:pPr>
        <w:pStyle w:val="Heading2"/>
      </w:pPr>
      <w:bookmarkStart w:id="7" w:name="_Toc48748006"/>
      <w:bookmarkStart w:id="8" w:name="_Toc146807845"/>
      <w:r w:rsidRPr="00780261">
        <w:t>Professional Statutory and Regulatory Bodies</w:t>
      </w:r>
      <w:bookmarkEnd w:id="7"/>
      <w:bookmarkEnd w:id="8"/>
    </w:p>
    <w:p w14:paraId="0C677E47" w14:textId="60C2AF0F" w:rsidR="005D4D9C" w:rsidRDefault="00B62836" w:rsidP="002A012C">
      <w:pPr>
        <w:spacing w:before="120"/>
        <w:contextualSpacing/>
        <w:jc w:val="both"/>
        <w:rPr>
          <w:rFonts w:asciiTheme="minorHAnsi" w:hAnsiTheme="minorHAnsi" w:cstheme="minorHAnsi"/>
          <w:szCs w:val="24"/>
        </w:rPr>
      </w:pPr>
      <w:r>
        <w:rPr>
          <w:rFonts w:asciiTheme="minorHAnsi" w:hAnsiTheme="minorHAnsi" w:cstheme="minorHAnsi"/>
          <w:szCs w:val="24"/>
        </w:rPr>
        <w:t>The Institution</w:t>
      </w:r>
      <w:r w:rsidR="005D4D9C" w:rsidRPr="005D4D9C">
        <w:rPr>
          <w:rFonts w:asciiTheme="minorHAnsi" w:hAnsiTheme="minorHAnsi" w:cstheme="minorHAnsi"/>
          <w:szCs w:val="24"/>
        </w:rPr>
        <w:t xml:space="preserve"> has a strong track record in developing degree programmes that integrate academic study with professional competencies resulting in registered practitioner status in teaching</w:t>
      </w:r>
      <w:r w:rsidR="005D4D9C" w:rsidRPr="005D4D9C">
        <w:rPr>
          <w:rFonts w:asciiTheme="minorHAnsi" w:hAnsiTheme="minorHAnsi" w:cstheme="minorHAnsi"/>
          <w:szCs w:val="24"/>
          <w:vertAlign w:val="superscript"/>
        </w:rPr>
        <w:footnoteReference w:id="6"/>
      </w:r>
      <w:r w:rsidR="005D4D9C" w:rsidRPr="005D4D9C">
        <w:rPr>
          <w:rFonts w:asciiTheme="minorHAnsi" w:hAnsiTheme="minorHAnsi" w:cstheme="minorHAnsi"/>
          <w:szCs w:val="24"/>
        </w:rPr>
        <w:t xml:space="preserve"> and health professions</w:t>
      </w:r>
      <w:r w:rsidR="005D4D9C" w:rsidRPr="005D4D9C">
        <w:rPr>
          <w:rFonts w:asciiTheme="minorHAnsi" w:hAnsiTheme="minorHAnsi" w:cstheme="minorHAnsi"/>
          <w:szCs w:val="24"/>
          <w:vertAlign w:val="superscript"/>
        </w:rPr>
        <w:footnoteReference w:id="7"/>
      </w:r>
      <w:r w:rsidR="005D4D9C" w:rsidRPr="005D4D9C">
        <w:rPr>
          <w:rFonts w:asciiTheme="minorHAnsi" w:hAnsiTheme="minorHAnsi" w:cstheme="minorHAnsi"/>
          <w:szCs w:val="24"/>
        </w:rPr>
        <w:t xml:space="preserve">. Accreditation by Professional Statutory and Regulatory Bodies (PSRBs) is also available on several other degree programmes, for example Law (recognised by the Solicitors Regulation Authority and Bar Standards Board) and Psychology </w:t>
      </w:r>
      <w:r w:rsidR="005D4D9C" w:rsidRPr="005D4D9C">
        <w:rPr>
          <w:rFonts w:asciiTheme="minorHAnsi" w:hAnsiTheme="minorHAnsi" w:cstheme="minorHAnsi"/>
          <w:szCs w:val="24"/>
        </w:rPr>
        <w:lastRenderedPageBreak/>
        <w:t xml:space="preserve">(accredited by the British Psychological Society). Accreditation may extend professional body membership to </w:t>
      </w:r>
      <w:r w:rsidR="002727F4">
        <w:rPr>
          <w:rFonts w:asciiTheme="minorHAnsi" w:hAnsiTheme="minorHAnsi" w:cstheme="minorHAnsi"/>
          <w:szCs w:val="24"/>
        </w:rPr>
        <w:t>our</w:t>
      </w:r>
      <w:r w:rsidR="005D4D9C" w:rsidRPr="005D4D9C">
        <w:rPr>
          <w:rFonts w:asciiTheme="minorHAnsi" w:hAnsiTheme="minorHAnsi" w:cstheme="minorHAnsi"/>
          <w:szCs w:val="24"/>
        </w:rPr>
        <w:t xml:space="preserve"> graduates or, as in Accountancy, provide exemptions from some professional examinations. Processes for the approval, monitoring and review of PSRB-regulated provision are described in Chapters 3 and 4 of this Handbook, and a </w:t>
      </w:r>
      <w:hyperlink r:id="rId18" w:history="1">
        <w:r w:rsidR="005D4D9C" w:rsidRPr="00515205">
          <w:rPr>
            <w:rStyle w:val="Hyperlink"/>
            <w:rFonts w:asciiTheme="minorHAnsi" w:hAnsiTheme="minorHAnsi" w:cstheme="minorHAnsi"/>
            <w:szCs w:val="24"/>
          </w:rPr>
          <w:t>Professional Accreditations Register</w:t>
        </w:r>
      </w:hyperlink>
      <w:r w:rsidR="005D4D9C" w:rsidRPr="005D4D9C">
        <w:rPr>
          <w:rFonts w:asciiTheme="minorHAnsi" w:hAnsiTheme="minorHAnsi" w:cstheme="minorHAnsi"/>
          <w:szCs w:val="24"/>
        </w:rPr>
        <w:t xml:space="preserve"> is published on the University’s website.</w:t>
      </w:r>
    </w:p>
    <w:p w14:paraId="20AAA504" w14:textId="77777777" w:rsidR="008A2C8C" w:rsidRPr="005D4D9C" w:rsidRDefault="008A2C8C" w:rsidP="008A2C8C"/>
    <w:p w14:paraId="23F23F18" w14:textId="58D73152" w:rsidR="008A2C8C" w:rsidRPr="008A2C8C" w:rsidRDefault="003D113D" w:rsidP="008A2C8C">
      <w:pPr>
        <w:pStyle w:val="Heading1"/>
        <w:contextualSpacing/>
        <w:jc w:val="both"/>
      </w:pPr>
      <w:bookmarkStart w:id="9" w:name="_Toc146807846"/>
      <w:r>
        <w:t>QUALITY MANAGEMENT AT EDGE HILL</w:t>
      </w:r>
      <w:bookmarkEnd w:id="9"/>
    </w:p>
    <w:p w14:paraId="750B514F" w14:textId="53266DE2" w:rsidR="007F4606" w:rsidRPr="00042928" w:rsidRDefault="007F4606" w:rsidP="008A2C8C">
      <w:pPr>
        <w:pStyle w:val="Heading2"/>
      </w:pPr>
      <w:bookmarkStart w:id="10" w:name="_Toc146807847"/>
      <w:r w:rsidRPr="00042928">
        <w:t>Our Quality ‘Culture’</w:t>
      </w:r>
      <w:bookmarkEnd w:id="10"/>
    </w:p>
    <w:p w14:paraId="4E3B4AB9" w14:textId="34D1C12C" w:rsidR="007F4606" w:rsidRDefault="007F4606" w:rsidP="000E7136">
      <w:pPr>
        <w:contextualSpacing/>
        <w:jc w:val="both"/>
      </w:pPr>
      <w:r>
        <w:t xml:space="preserve">The </w:t>
      </w:r>
      <w:proofErr w:type="spellStart"/>
      <w:r>
        <w:t>OfS’s</w:t>
      </w:r>
      <w:proofErr w:type="spellEnd"/>
      <w:r>
        <w:t xml:space="preserve"> principles-based approach to regulation requires providers to demonstrate a level of maturity. Our</w:t>
      </w:r>
      <w:r w:rsidRPr="00505865">
        <w:t xml:space="preserve"> </w:t>
      </w:r>
      <w:r>
        <w:t>‘</w:t>
      </w:r>
      <w:r w:rsidRPr="00505865">
        <w:t xml:space="preserve">quality </w:t>
      </w:r>
      <w:r>
        <w:t>culture’</w:t>
      </w:r>
      <w:r w:rsidRPr="00505865">
        <w:t xml:space="preserve"> </w:t>
      </w:r>
      <w:r>
        <w:t>is</w:t>
      </w:r>
      <w:r w:rsidRPr="00505865">
        <w:t xml:space="preserve"> based on the </w:t>
      </w:r>
      <w:r>
        <w:t>concept</w:t>
      </w:r>
      <w:r w:rsidRPr="00505865">
        <w:t xml:space="preserve"> of </w:t>
      </w:r>
      <w:r w:rsidRPr="003B7685">
        <w:rPr>
          <w:b/>
          <w:bCs/>
        </w:rPr>
        <w:t>shared responsibility</w:t>
      </w:r>
      <w:r w:rsidRPr="00505865">
        <w:t xml:space="preserve"> in which all parts of the </w:t>
      </w:r>
      <w:r>
        <w:t>organisation</w:t>
      </w:r>
      <w:r w:rsidRPr="00505865">
        <w:t xml:space="preserve"> are accountable to each other through </w:t>
      </w:r>
      <w:r>
        <w:t>the Institution’s</w:t>
      </w:r>
      <w:r w:rsidRPr="00505865">
        <w:t xml:space="preserve"> </w:t>
      </w:r>
      <w:hyperlink r:id="rId19" w:history="1">
        <w:r w:rsidRPr="00096B83">
          <w:rPr>
            <w:rStyle w:val="Hyperlink"/>
          </w:rPr>
          <w:t>executive management and governance structures</w:t>
        </w:r>
      </w:hyperlink>
      <w:r w:rsidRPr="00505865">
        <w:t xml:space="preserve">. </w:t>
      </w:r>
      <w:r>
        <w:t>This</w:t>
      </w:r>
      <w:r w:rsidRPr="008708E5">
        <w:t xml:space="preserve"> </w:t>
      </w:r>
      <w:r>
        <w:t>h</w:t>
      </w:r>
      <w:r w:rsidRPr="008708E5">
        <w:t xml:space="preserve">andbook </w:t>
      </w:r>
      <w:r>
        <w:t xml:space="preserve">therefore </w:t>
      </w:r>
      <w:r w:rsidRPr="008708E5">
        <w:t xml:space="preserve">describes the roles and </w:t>
      </w:r>
      <w:r>
        <w:t>expectations</w:t>
      </w:r>
      <w:r w:rsidRPr="008708E5">
        <w:t xml:space="preserve"> of individuals, groups, </w:t>
      </w:r>
      <w:proofErr w:type="gramStart"/>
      <w:r w:rsidRPr="008708E5">
        <w:t>panels</w:t>
      </w:r>
      <w:proofErr w:type="gramEnd"/>
      <w:r w:rsidRPr="008708E5">
        <w:t xml:space="preserve"> and committees </w:t>
      </w:r>
      <w:r>
        <w:t>(</w:t>
      </w:r>
      <w:r w:rsidRPr="008708E5">
        <w:t>which may include students and external stakeholders</w:t>
      </w:r>
      <w:r>
        <w:t>) in assuring standards, identifying and managing risk and enhancing quality</w:t>
      </w:r>
      <w:r w:rsidRPr="008708E5">
        <w:t>.</w:t>
      </w:r>
    </w:p>
    <w:p w14:paraId="5F9B1BC4" w14:textId="77777777" w:rsidR="000E7136" w:rsidRDefault="000E7136" w:rsidP="000E7136">
      <w:pPr>
        <w:contextualSpacing/>
        <w:jc w:val="both"/>
      </w:pPr>
    </w:p>
    <w:p w14:paraId="53AE71E6" w14:textId="77777777" w:rsidR="007F4606" w:rsidRDefault="007F4606" w:rsidP="000E7136">
      <w:pPr>
        <w:contextualSpacing/>
        <w:jc w:val="both"/>
      </w:pPr>
      <w:r w:rsidRPr="00505865">
        <w:t>Threats</w:t>
      </w:r>
      <w:r>
        <w:t xml:space="preserve"> to standards and quality</w:t>
      </w:r>
      <w:r w:rsidRPr="00505865">
        <w:t xml:space="preserve"> may be generated by internal or external conditions and are either exacerbated or mitigated by how the </w:t>
      </w:r>
      <w:r>
        <w:t>Institution</w:t>
      </w:r>
      <w:r w:rsidRPr="00505865">
        <w:t xml:space="preserve"> responds to them</w:t>
      </w:r>
      <w:r>
        <w:t>.</w:t>
      </w:r>
      <w:r w:rsidRPr="00505865">
        <w:t xml:space="preserve"> Managers</w:t>
      </w:r>
      <w:r>
        <w:t xml:space="preserve"> at </w:t>
      </w:r>
      <w:r w:rsidRPr="000678E4">
        <w:rPr>
          <w:u w:val="single"/>
        </w:rPr>
        <w:t>all levels</w:t>
      </w:r>
      <w:r w:rsidRPr="00505865">
        <w:t xml:space="preserve"> </w:t>
      </w:r>
      <w:r>
        <w:t>are expected to promote</w:t>
      </w:r>
      <w:r w:rsidRPr="00505865">
        <w:t xml:space="preserve"> a ‘no blame’ culture in which</w:t>
      </w:r>
      <w:r w:rsidRPr="00E610AE">
        <w:t xml:space="preserve"> </w:t>
      </w:r>
      <w:r>
        <w:t>s</w:t>
      </w:r>
      <w:r w:rsidRPr="00505865">
        <w:t>taff</w:t>
      </w:r>
      <w:r>
        <w:t>:</w:t>
      </w:r>
    </w:p>
    <w:p w14:paraId="66546476" w14:textId="77777777" w:rsidR="007F4606" w:rsidRDefault="007F4606" w:rsidP="000E7136">
      <w:pPr>
        <w:pStyle w:val="ListParagraph"/>
        <w:numPr>
          <w:ilvl w:val="0"/>
          <w:numId w:val="23"/>
        </w:numPr>
        <w:jc w:val="both"/>
      </w:pPr>
      <w:r>
        <w:t xml:space="preserve">Have </w:t>
      </w:r>
      <w:r w:rsidRPr="00505865">
        <w:t xml:space="preserve">the confidence to </w:t>
      </w:r>
      <w:r>
        <w:t>identify and highlight</w:t>
      </w:r>
      <w:r w:rsidRPr="00505865">
        <w:t xml:space="preserve"> potential threats to quality and standards</w:t>
      </w:r>
      <w:r>
        <w:t>; and,</w:t>
      </w:r>
    </w:p>
    <w:p w14:paraId="6A32917B" w14:textId="489700CD" w:rsidR="007F4606" w:rsidRDefault="007F4606" w:rsidP="000E7136">
      <w:pPr>
        <w:pStyle w:val="ListParagraph"/>
        <w:numPr>
          <w:ilvl w:val="0"/>
          <w:numId w:val="23"/>
        </w:numPr>
        <w:jc w:val="both"/>
      </w:pPr>
      <w:r>
        <w:t>A</w:t>
      </w:r>
      <w:r w:rsidRPr="00505865">
        <w:t xml:space="preserve">re empowered to formulate and take </w:t>
      </w:r>
      <w:r>
        <w:t>mitigating action when needed</w:t>
      </w:r>
      <w:r w:rsidRPr="00505865">
        <w:t>.</w:t>
      </w:r>
    </w:p>
    <w:p w14:paraId="640695D5" w14:textId="77777777" w:rsidR="007F4606" w:rsidRPr="007F4606" w:rsidRDefault="007F4606" w:rsidP="007F4606">
      <w:pPr>
        <w:pStyle w:val="ListParagraph"/>
        <w:ind w:left="770"/>
        <w:jc w:val="both"/>
      </w:pPr>
    </w:p>
    <w:p w14:paraId="0157A4A9" w14:textId="3E3DF6D1" w:rsidR="00BE09B9" w:rsidRPr="00042928" w:rsidRDefault="00BE09B9" w:rsidP="008A2C8C">
      <w:pPr>
        <w:pStyle w:val="Heading2"/>
      </w:pPr>
      <w:bookmarkStart w:id="11" w:name="_Toc146807848"/>
      <w:r w:rsidRPr="00042928">
        <w:t>Assessing and Managing Academic Risk</w:t>
      </w:r>
      <w:bookmarkEnd w:id="11"/>
    </w:p>
    <w:p w14:paraId="1A548A2A" w14:textId="77777777" w:rsidR="00BE09B9" w:rsidRPr="0080300B" w:rsidRDefault="00BE09B9" w:rsidP="00BE09B9">
      <w:pPr>
        <w:contextualSpacing/>
        <w:jc w:val="both"/>
      </w:pPr>
      <w:r w:rsidRPr="0080300B">
        <w:t xml:space="preserve">Whether or not academic provision is deemed to be at risk depends on the interaction between the threats identified and our ability to manage them. A department operating in a high-risk environment may be regarded as medium or low </w:t>
      </w:r>
      <w:r w:rsidRPr="0080300B">
        <w:rPr>
          <w:i/>
          <w:iCs/>
        </w:rPr>
        <w:t>net risk</w:t>
      </w:r>
      <w:r w:rsidRPr="0080300B">
        <w:t xml:space="preserve"> based on its ability to effective control measures put in place. Where </w:t>
      </w:r>
      <w:r w:rsidRPr="0080300B">
        <w:rPr>
          <w:iCs/>
        </w:rPr>
        <w:t>net risk</w:t>
      </w:r>
      <w:r w:rsidRPr="0080300B">
        <w:t xml:space="preserve"> is deemed to be high, additional scrutiny measures</w:t>
      </w:r>
      <w:r w:rsidRPr="0080300B">
        <w:rPr>
          <w:vertAlign w:val="superscript"/>
        </w:rPr>
        <w:footnoteReference w:id="8"/>
      </w:r>
      <w:r w:rsidRPr="0080300B">
        <w:t xml:space="preserve"> are put in place to support the department in managing it. Quality assurance systems and processes must therefore reflect an appropriate balance of rigour and flexibility, i.e., proportionate to the level of net risk. </w:t>
      </w:r>
    </w:p>
    <w:p w14:paraId="38452B86" w14:textId="77777777" w:rsidR="00BE09B9" w:rsidRPr="0080300B" w:rsidRDefault="00BE09B9" w:rsidP="00BE09B9">
      <w:pPr>
        <w:contextualSpacing/>
        <w:jc w:val="both"/>
      </w:pPr>
    </w:p>
    <w:p w14:paraId="341099CD" w14:textId="7BE90BBC" w:rsidR="007C6615" w:rsidRDefault="00BE09B9" w:rsidP="007C6615">
      <w:pPr>
        <w:contextualSpacing/>
        <w:jc w:val="both"/>
      </w:pPr>
      <w:r w:rsidRPr="0080300B">
        <w:t xml:space="preserve">The </w:t>
      </w:r>
      <w:r w:rsidRPr="0080300B">
        <w:rPr>
          <w:b/>
          <w:bCs/>
        </w:rPr>
        <w:t>academic planning</w:t>
      </w:r>
      <w:r w:rsidRPr="0080300B">
        <w:t xml:space="preserve"> and </w:t>
      </w:r>
      <w:r w:rsidRPr="0080300B">
        <w:rPr>
          <w:b/>
          <w:bCs/>
        </w:rPr>
        <w:t>validation</w:t>
      </w:r>
      <w:r w:rsidR="00B42910">
        <w:rPr>
          <w:b/>
          <w:bCs/>
        </w:rPr>
        <w:t xml:space="preserve"> </w:t>
      </w:r>
      <w:r w:rsidR="00D943EA">
        <w:t xml:space="preserve">(curriculum approval) </w:t>
      </w:r>
      <w:r w:rsidRPr="00BE09B9">
        <w:t>processes</w:t>
      </w:r>
      <w:r w:rsidR="00096B83">
        <w:rPr>
          <w:b/>
          <w:bCs/>
        </w:rPr>
        <w:t xml:space="preserve">, </w:t>
      </w:r>
      <w:r w:rsidR="00C52B90">
        <w:t xml:space="preserve">as set out in </w:t>
      </w:r>
      <w:r w:rsidR="00515205">
        <w:t>chapter 4 of this</w:t>
      </w:r>
      <w:r w:rsidR="00C52B90">
        <w:t xml:space="preserve"> handbook, </w:t>
      </w:r>
      <w:r w:rsidRPr="0080300B">
        <w:t xml:space="preserve">enable the management of risk associated with developing new provision, new modes of delivery and/or entry into new markets, as well as changing market and regulatory conditions. </w:t>
      </w:r>
      <w:r w:rsidRPr="0080300B">
        <w:rPr>
          <w:b/>
          <w:bCs/>
        </w:rPr>
        <w:t>Monitoring and review</w:t>
      </w:r>
      <w:r w:rsidRPr="0080300B">
        <w:t xml:space="preserve"> processes</w:t>
      </w:r>
      <w:r w:rsidR="00096B83">
        <w:t xml:space="preserve"> (see chapter 3) </w:t>
      </w:r>
      <w:r w:rsidRPr="0080300B">
        <w:t xml:space="preserve">facilitate the identification and management of risks that arise during programme delivery and any associated impact on quality and standards. </w:t>
      </w:r>
    </w:p>
    <w:p w14:paraId="21624313" w14:textId="77777777" w:rsidR="007C6615" w:rsidRPr="007C6615" w:rsidRDefault="007C6615" w:rsidP="007C6615">
      <w:pPr>
        <w:contextualSpacing/>
        <w:jc w:val="both"/>
      </w:pPr>
    </w:p>
    <w:p w14:paraId="449E1AFB" w14:textId="74291763" w:rsidR="00C80E65" w:rsidRPr="00042928" w:rsidRDefault="00A458E4" w:rsidP="008A2C8C">
      <w:pPr>
        <w:pStyle w:val="Heading2"/>
      </w:pPr>
      <w:bookmarkStart w:id="12" w:name="_Toc146807849"/>
      <w:r w:rsidRPr="00042928">
        <w:t xml:space="preserve">Setting and </w:t>
      </w:r>
      <w:r w:rsidR="00914C1E">
        <w:t>M</w:t>
      </w:r>
      <w:r w:rsidRPr="00042928">
        <w:t xml:space="preserve">aintaining </w:t>
      </w:r>
      <w:r w:rsidR="00914C1E">
        <w:t>S</w:t>
      </w:r>
      <w:r w:rsidRPr="00042928">
        <w:t>tandards and</w:t>
      </w:r>
      <w:r w:rsidR="00914C1E">
        <w:t xml:space="preserve"> E</w:t>
      </w:r>
      <w:r w:rsidRPr="00042928">
        <w:t xml:space="preserve">nhancing </w:t>
      </w:r>
      <w:r w:rsidR="00914C1E">
        <w:t>Q</w:t>
      </w:r>
      <w:r w:rsidRPr="00042928">
        <w:t>uality</w:t>
      </w:r>
      <w:bookmarkEnd w:id="12"/>
    </w:p>
    <w:p w14:paraId="3E0778EF" w14:textId="63E10D85" w:rsidR="00C80E65" w:rsidRPr="00C80E65" w:rsidRDefault="00C80E65" w:rsidP="00C80E65">
      <w:r w:rsidRPr="00C80E65">
        <w:t xml:space="preserve">The University is responsible for </w:t>
      </w:r>
      <w:bookmarkStart w:id="13" w:name="_Hlk83317239"/>
      <w:r w:rsidRPr="00C80E65">
        <w:t xml:space="preserve">setting and maintaining </w:t>
      </w:r>
      <w:r w:rsidR="00A458E4">
        <w:t xml:space="preserve">academic </w:t>
      </w:r>
      <w:r w:rsidR="006C3AD2">
        <w:t xml:space="preserve">standards </w:t>
      </w:r>
      <w:r w:rsidRPr="00C80E65">
        <w:t>and enhancing the quality</w:t>
      </w:r>
      <w:bookmarkEnd w:id="13"/>
      <w:r w:rsidRPr="00C80E65">
        <w:t xml:space="preserve"> of </w:t>
      </w:r>
      <w:r w:rsidR="00570B54">
        <w:t xml:space="preserve">the </w:t>
      </w:r>
      <w:r w:rsidRPr="00C80E65">
        <w:t xml:space="preserve">student </w:t>
      </w:r>
      <w:r w:rsidR="00570B54">
        <w:t>experience</w:t>
      </w:r>
      <w:r w:rsidRPr="00C80E65">
        <w:t>. These responsibilities are discharged through staff engagement with:</w:t>
      </w:r>
    </w:p>
    <w:p w14:paraId="3FB74B81" w14:textId="2A6FDE20" w:rsidR="00C80E65" w:rsidRPr="00C80E65" w:rsidRDefault="00C80E65" w:rsidP="005B47EA">
      <w:pPr>
        <w:numPr>
          <w:ilvl w:val="0"/>
          <w:numId w:val="3"/>
        </w:numPr>
        <w:ind w:left="714" w:hanging="357"/>
        <w:contextualSpacing/>
        <w:jc w:val="both"/>
      </w:pPr>
      <w:r w:rsidRPr="00C80E65">
        <w:t xml:space="preserve">The </w:t>
      </w:r>
      <w:hyperlink r:id="rId20" w:history="1">
        <w:r w:rsidRPr="00096B83">
          <w:rPr>
            <w:rStyle w:val="Hyperlink"/>
            <w:b/>
            <w:bCs/>
          </w:rPr>
          <w:t>Academic Regulations</w:t>
        </w:r>
      </w:hyperlink>
      <w:r w:rsidRPr="00C80E65">
        <w:t xml:space="preserve"> which govern programme structures and the award of qualifications and credit;</w:t>
      </w:r>
    </w:p>
    <w:p w14:paraId="75D8762B" w14:textId="442A7FE7" w:rsidR="00C80E65" w:rsidRPr="00C80E65" w:rsidRDefault="00C80E65" w:rsidP="005B47EA">
      <w:pPr>
        <w:numPr>
          <w:ilvl w:val="0"/>
          <w:numId w:val="3"/>
        </w:numPr>
        <w:ind w:left="714" w:hanging="357"/>
        <w:contextualSpacing/>
        <w:jc w:val="both"/>
      </w:pPr>
      <w:r w:rsidRPr="00C80E65">
        <w:t xml:space="preserve">The </w:t>
      </w:r>
      <w:hyperlink r:id="rId21" w:history="1">
        <w:r w:rsidRPr="00290E0F">
          <w:rPr>
            <w:rStyle w:val="Hyperlink"/>
            <w:b/>
            <w:bCs/>
          </w:rPr>
          <w:t>Curriculum Strategy</w:t>
        </w:r>
      </w:hyperlink>
      <w:r w:rsidRPr="00C80E65">
        <w:t xml:space="preserve"> which provides </w:t>
      </w:r>
      <w:r w:rsidR="00831D6B" w:rsidRPr="00831D6B">
        <w:t>a framework for which proposals for new curriculum may be measured against</w:t>
      </w:r>
      <w:r w:rsidR="00970D18">
        <w:t xml:space="preserve"> and </w:t>
      </w:r>
      <w:r w:rsidR="00970D18" w:rsidRPr="00C80E65">
        <w:t xml:space="preserve">the </w:t>
      </w:r>
      <w:r w:rsidR="00970D18">
        <w:t xml:space="preserve">Institution’s academic </w:t>
      </w:r>
      <w:r w:rsidR="00970D18" w:rsidRPr="00C80E65">
        <w:t>portfolio</w:t>
      </w:r>
      <w:r w:rsidR="00970D18">
        <w:t xml:space="preserve"> may be reviewed. </w:t>
      </w:r>
    </w:p>
    <w:p w14:paraId="0C3A3574" w14:textId="0138FB5D" w:rsidR="00C80E65" w:rsidRPr="00C80E65" w:rsidRDefault="00C80E65" w:rsidP="005B47EA">
      <w:pPr>
        <w:numPr>
          <w:ilvl w:val="0"/>
          <w:numId w:val="3"/>
        </w:numPr>
        <w:ind w:left="714" w:hanging="357"/>
        <w:contextualSpacing/>
        <w:jc w:val="both"/>
      </w:pPr>
      <w:r w:rsidRPr="00C80E65">
        <w:t xml:space="preserve">The </w:t>
      </w:r>
      <w:hyperlink r:id="rId22" w:history="1">
        <w:r w:rsidRPr="00290E0F">
          <w:rPr>
            <w:rStyle w:val="Hyperlink"/>
            <w:b/>
            <w:bCs/>
          </w:rPr>
          <w:t>Taught Degrees Framework</w:t>
        </w:r>
      </w:hyperlink>
      <w:r w:rsidRPr="00C80E65">
        <w:t xml:space="preserve"> which contains practical guidance on programme design and delivery </w:t>
      </w:r>
      <w:r w:rsidR="00D14169">
        <w:t>in the context of</w:t>
      </w:r>
      <w:r w:rsidRPr="00C80E65">
        <w:t xml:space="preserve"> </w:t>
      </w:r>
      <w:r w:rsidR="00D14169">
        <w:t xml:space="preserve">the Institutions’ </w:t>
      </w:r>
      <w:r w:rsidRPr="00C80E65">
        <w:t>graduate attributes; and</w:t>
      </w:r>
    </w:p>
    <w:p w14:paraId="798B135F" w14:textId="709FF730" w:rsidR="001A1C90" w:rsidRDefault="00C80E65" w:rsidP="005B47EA">
      <w:pPr>
        <w:numPr>
          <w:ilvl w:val="0"/>
          <w:numId w:val="3"/>
        </w:numPr>
        <w:ind w:left="714" w:hanging="357"/>
        <w:contextualSpacing/>
        <w:jc w:val="both"/>
      </w:pPr>
      <w:r w:rsidRPr="00C80E65">
        <w:t xml:space="preserve">The </w:t>
      </w:r>
      <w:r w:rsidRPr="00C80E65">
        <w:rPr>
          <w:b/>
        </w:rPr>
        <w:t>Quality Management Handbook (QMH)</w:t>
      </w:r>
      <w:r w:rsidRPr="00C80E65">
        <w:t xml:space="preserve"> which describes the operational procedures for curriculum design and approval, </w:t>
      </w:r>
      <w:proofErr w:type="gramStart"/>
      <w:r w:rsidRPr="00C80E65">
        <w:t>monitoring</w:t>
      </w:r>
      <w:proofErr w:type="gramEnd"/>
      <w:r w:rsidRPr="00C80E65">
        <w:t xml:space="preserve"> and review.</w:t>
      </w:r>
    </w:p>
    <w:p w14:paraId="43DACE38" w14:textId="77777777" w:rsidR="005B47EA" w:rsidRDefault="005B47EA" w:rsidP="005B47EA">
      <w:pPr>
        <w:ind w:left="714"/>
        <w:contextualSpacing/>
      </w:pPr>
    </w:p>
    <w:p w14:paraId="658880D3" w14:textId="03F1A569" w:rsidR="009357A9" w:rsidRPr="003F7825" w:rsidRDefault="009357A9" w:rsidP="00CD1AA8">
      <w:pPr>
        <w:contextualSpacing/>
        <w:jc w:val="both"/>
      </w:pPr>
      <w:r>
        <w:rPr>
          <w:bCs/>
        </w:rPr>
        <w:t>T</w:t>
      </w:r>
      <w:r w:rsidRPr="009654CB">
        <w:rPr>
          <w:bCs/>
        </w:rPr>
        <w:t xml:space="preserve">he processes, as set out within this handbook, aim to deliver </w:t>
      </w:r>
      <w:r w:rsidRPr="009654CB">
        <w:rPr>
          <w:bCs/>
          <w:i/>
        </w:rPr>
        <w:t>threshold</w:t>
      </w:r>
      <w:r w:rsidRPr="009654CB">
        <w:rPr>
          <w:bCs/>
        </w:rPr>
        <w:t xml:space="preserve"> judgements on academic quality and standards in line with minimum baseline expectations </w:t>
      </w:r>
      <w:r w:rsidRPr="003F7825">
        <w:rPr>
          <w:bCs/>
          <w:u w:val="single"/>
        </w:rPr>
        <w:t>and</w:t>
      </w:r>
      <w:r w:rsidRPr="009654CB">
        <w:rPr>
          <w:bCs/>
        </w:rPr>
        <w:t xml:space="preserve"> to establish areas of potential excellence </w:t>
      </w:r>
      <w:r w:rsidRPr="009654CB">
        <w:rPr>
          <w:bCs/>
          <w:i/>
          <w:iCs/>
        </w:rPr>
        <w:t>above</w:t>
      </w:r>
      <w:r w:rsidRPr="009654CB">
        <w:rPr>
          <w:bCs/>
        </w:rPr>
        <w:t xml:space="preserve"> </w:t>
      </w:r>
      <w:r w:rsidRPr="009654CB">
        <w:rPr>
          <w:bCs/>
          <w:i/>
        </w:rPr>
        <w:t>threshold</w:t>
      </w:r>
      <w:r w:rsidRPr="009654CB">
        <w:rPr>
          <w:bCs/>
        </w:rPr>
        <w:t xml:space="preserve"> for the purpose of quality enhancement</w:t>
      </w:r>
      <w:r w:rsidR="003F7825">
        <w:t>.</w:t>
      </w:r>
    </w:p>
    <w:p w14:paraId="1786949D" w14:textId="77777777" w:rsidR="009357A9" w:rsidRDefault="009357A9" w:rsidP="00CD1AA8">
      <w:pPr>
        <w:contextualSpacing/>
        <w:jc w:val="both"/>
        <w:rPr>
          <w:b/>
          <w:bCs/>
        </w:rPr>
      </w:pPr>
    </w:p>
    <w:p w14:paraId="06B704BE" w14:textId="0BB9585B" w:rsidR="001A1C90" w:rsidRPr="002B10FF" w:rsidRDefault="001A1C90" w:rsidP="00CD1AA8">
      <w:pPr>
        <w:contextualSpacing/>
        <w:jc w:val="both"/>
      </w:pPr>
      <w:r w:rsidRPr="0024023F">
        <w:rPr>
          <w:b/>
          <w:bCs/>
        </w:rPr>
        <w:t xml:space="preserve">Academic </w:t>
      </w:r>
      <w:r w:rsidRPr="00CC46B7">
        <w:rPr>
          <w:b/>
          <w:bCs/>
        </w:rPr>
        <w:t>standards</w:t>
      </w:r>
      <w:r>
        <w:t xml:space="preserve"> are set at validation</w:t>
      </w:r>
      <w:r w:rsidR="0032052B">
        <w:t xml:space="preserve"> </w:t>
      </w:r>
      <w:r>
        <w:t xml:space="preserve">in line with </w:t>
      </w:r>
      <w:r w:rsidR="00096B83">
        <w:t>C</w:t>
      </w:r>
      <w:r>
        <w:t xml:space="preserve">ondition B5, </w:t>
      </w:r>
      <w:r w:rsidR="00F70885">
        <w:t xml:space="preserve">i.e., </w:t>
      </w:r>
      <w:r>
        <w:t>consistent with</w:t>
      </w:r>
      <w:r w:rsidRPr="002B10FF">
        <w:t xml:space="preserve"> </w:t>
      </w:r>
      <w:bookmarkStart w:id="14" w:name="_Hlk146715537"/>
      <w:r w:rsidR="00096B83">
        <w:fldChar w:fldCharType="begin"/>
      </w:r>
      <w:r w:rsidR="00096B83">
        <w:instrText>HYPERLINK "https://www.officeforstudents.org.uk/media/cffb3feb-c7ed-472d-8ad3-008175099a6b/sector-recognised-standards-in-england.pdf" \l ":~:text=Paragraph%20342%20of%20the%20Office%20for%20Students%E2%80%99%20%28OfS%E2%80%99s%29,applied%20to%20higher%20education.%20Paragraph%20342%20reads%3A%20342."</w:instrText>
      </w:r>
      <w:r w:rsidR="00096B83">
        <w:fldChar w:fldCharType="separate"/>
      </w:r>
      <w:r w:rsidR="00096B83" w:rsidRPr="00096B83">
        <w:rPr>
          <w:rStyle w:val="Hyperlink"/>
        </w:rPr>
        <w:t>S</w:t>
      </w:r>
      <w:r w:rsidRPr="00096B83">
        <w:rPr>
          <w:rStyle w:val="Hyperlink"/>
        </w:rPr>
        <w:t xml:space="preserve">ector </w:t>
      </w:r>
      <w:r w:rsidR="00096B83" w:rsidRPr="00096B83">
        <w:rPr>
          <w:rStyle w:val="Hyperlink"/>
        </w:rPr>
        <w:t>R</w:t>
      </w:r>
      <w:r w:rsidRPr="00096B83">
        <w:rPr>
          <w:rStyle w:val="Hyperlink"/>
        </w:rPr>
        <w:t xml:space="preserve">ecognised </w:t>
      </w:r>
      <w:r w:rsidR="00096B83" w:rsidRPr="00096B83">
        <w:rPr>
          <w:rStyle w:val="Hyperlink"/>
        </w:rPr>
        <w:t>S</w:t>
      </w:r>
      <w:r w:rsidRPr="00096B83">
        <w:rPr>
          <w:rStyle w:val="Hyperlink"/>
        </w:rPr>
        <w:t>tandards</w:t>
      </w:r>
      <w:r w:rsidR="00096B83">
        <w:fldChar w:fldCharType="end"/>
      </w:r>
      <w:bookmarkEnd w:id="14"/>
      <w:r w:rsidRPr="002B10FF">
        <w:t xml:space="preserve"> </w:t>
      </w:r>
      <w:r>
        <w:t xml:space="preserve">as </w:t>
      </w:r>
      <w:r w:rsidRPr="002B10FF">
        <w:t>defined within the</w:t>
      </w:r>
      <w:r w:rsidR="003050FE">
        <w:t xml:space="preserve"> FHEQ</w:t>
      </w:r>
      <w:r>
        <w:t>.</w:t>
      </w:r>
      <w:r w:rsidRPr="002B10FF">
        <w:t xml:space="preserve"> </w:t>
      </w:r>
      <w:r>
        <w:t>When designing and developing programmes, other non-mandatory reference points are also used, specifically the</w:t>
      </w:r>
      <w:r w:rsidR="00CB7B6F">
        <w:t xml:space="preserve"> </w:t>
      </w:r>
      <w:hyperlink r:id="rId23" w:history="1">
        <w:r w:rsidR="00CB7B6F" w:rsidRPr="00096B83">
          <w:rPr>
            <w:rStyle w:val="Hyperlink"/>
          </w:rPr>
          <w:t>UK Quality Code for Higher</w:t>
        </w:r>
        <w:r w:rsidR="005B47EA" w:rsidRPr="00096B83">
          <w:rPr>
            <w:rStyle w:val="Hyperlink"/>
          </w:rPr>
          <w:t xml:space="preserve"> </w:t>
        </w:r>
        <w:r w:rsidR="00C84E27" w:rsidRPr="00096B83">
          <w:rPr>
            <w:rStyle w:val="Hyperlink"/>
          </w:rPr>
          <w:t>Education</w:t>
        </w:r>
      </w:hyperlink>
      <w:r w:rsidR="00C84E27">
        <w:t xml:space="preserve">’s </w:t>
      </w:r>
      <w:r w:rsidR="008D465F">
        <w:t xml:space="preserve">(UKQCHE) </w:t>
      </w:r>
      <w:hyperlink r:id="rId24" w:history="1">
        <w:r w:rsidR="00C84E27" w:rsidRPr="00096B83">
          <w:rPr>
            <w:rStyle w:val="Hyperlink"/>
          </w:rPr>
          <w:t>Advice and Guidance</w:t>
        </w:r>
      </w:hyperlink>
      <w:r>
        <w:t>,</w:t>
      </w:r>
      <w:r w:rsidR="00E766B5">
        <w:t xml:space="preserve"> </w:t>
      </w:r>
      <w:hyperlink r:id="rId25" w:history="1">
        <w:r w:rsidRPr="00263636">
          <w:rPr>
            <w:rStyle w:val="Hyperlink"/>
          </w:rPr>
          <w:t>qualification characteristics statements</w:t>
        </w:r>
      </w:hyperlink>
      <w:r w:rsidRPr="002B10FF">
        <w:t xml:space="preserve"> and </w:t>
      </w:r>
      <w:hyperlink r:id="rId26" w:history="1">
        <w:r w:rsidRPr="00263636">
          <w:rPr>
            <w:rStyle w:val="Hyperlink"/>
          </w:rPr>
          <w:t>subject benchmark statements</w:t>
        </w:r>
      </w:hyperlink>
      <w:r w:rsidRPr="002B10FF">
        <w:t>. Once set at validation, external examiners</w:t>
      </w:r>
      <w:r w:rsidR="00263636">
        <w:t xml:space="preserve"> (see chapter 2)</w:t>
      </w:r>
      <w:r w:rsidRPr="002B10FF">
        <w:t xml:space="preserve"> judge whether threshold standards are being achieved at module and qualification award level. Beyond threshold (pass) standard, awarding bodies classify degrees according to their own academic regulations</w:t>
      </w:r>
      <w:r w:rsidR="00263636">
        <w:t>, using marking criteria</w:t>
      </w:r>
      <w:r w:rsidR="00263636" w:rsidRPr="00263636">
        <w:t xml:space="preserve"> </w:t>
      </w:r>
      <w:r w:rsidR="00263636">
        <w:t xml:space="preserve">which demonstrate clear alignment with the mandatory Degree Classification Descriptors (See </w:t>
      </w:r>
      <w:hyperlink r:id="rId27" w:anchor=":~:text=Paragraph%20342%20of%20the%20Office%20for%20Students%E2%80%99%20%28OfS%E2%80%99s%29,applied%20to%20higher%20education.%20Paragraph%20342%20reads%3A%20342." w:history="1">
        <w:r w:rsidR="00263636" w:rsidRPr="00096B83">
          <w:rPr>
            <w:rStyle w:val="Hyperlink"/>
          </w:rPr>
          <w:t>Sector Recognised Standards</w:t>
        </w:r>
      </w:hyperlink>
      <w:r w:rsidR="00263636">
        <w:t>)</w:t>
      </w:r>
      <w:r w:rsidRPr="002B10FF">
        <w:t xml:space="preserve"> and external examiners judge whether these are applied consistently as well as commenting on the comparability of standards with similar provision elsewhere in the sector. Alongside this, every registered</w:t>
      </w:r>
      <w:r>
        <w:t xml:space="preserve"> HE</w:t>
      </w:r>
      <w:r w:rsidRPr="002B10FF">
        <w:t xml:space="preserve"> provider in England publish</w:t>
      </w:r>
      <w:r>
        <w:t>es</w:t>
      </w:r>
      <w:r w:rsidRPr="002B10FF">
        <w:t xml:space="preserve"> a </w:t>
      </w:r>
      <w:hyperlink r:id="rId28" w:history="1">
        <w:r w:rsidRPr="008F7FA4">
          <w:rPr>
            <w:rStyle w:val="Hyperlink"/>
          </w:rPr>
          <w:t>Degree Outcomes Statement</w:t>
        </w:r>
      </w:hyperlink>
      <w:r>
        <w:t xml:space="preserve"> (DOS)</w:t>
      </w:r>
      <w:r>
        <w:rPr>
          <w:rStyle w:val="FootnoteReference"/>
        </w:rPr>
        <w:footnoteReference w:id="9"/>
      </w:r>
      <w:r w:rsidRPr="002B10FF">
        <w:t xml:space="preserve"> </w:t>
      </w:r>
      <w:r>
        <w:t>which describes</w:t>
      </w:r>
      <w:r w:rsidRPr="002B10FF">
        <w:t>:</w:t>
      </w:r>
    </w:p>
    <w:p w14:paraId="363D9FAD" w14:textId="77777777" w:rsidR="001A1C90" w:rsidRPr="002B10FF" w:rsidRDefault="001A1C90" w:rsidP="00C04C5E">
      <w:pPr>
        <w:pStyle w:val="ListParagraph"/>
        <w:numPr>
          <w:ilvl w:val="0"/>
          <w:numId w:val="1"/>
        </w:numPr>
        <w:ind w:left="714" w:hanging="357"/>
        <w:jc w:val="both"/>
      </w:pPr>
      <w:r w:rsidRPr="002B10FF">
        <w:t xml:space="preserve">The relationship between the Institution’s degree outcomes and entry qualifications, student characteristics, subject </w:t>
      </w:r>
      <w:proofErr w:type="gramStart"/>
      <w:r w:rsidRPr="002B10FF">
        <w:t>mix</w:t>
      </w:r>
      <w:proofErr w:type="gramEnd"/>
      <w:r w:rsidRPr="002B10FF">
        <w:t xml:space="preserve"> and sector benchmarks</w:t>
      </w:r>
      <w:r>
        <w:t>.</w:t>
      </w:r>
    </w:p>
    <w:p w14:paraId="75238197" w14:textId="68BDC44D" w:rsidR="001A1C90" w:rsidRPr="002B10FF" w:rsidRDefault="001A1C90" w:rsidP="00C04C5E">
      <w:pPr>
        <w:pStyle w:val="ListParagraph"/>
        <w:numPr>
          <w:ilvl w:val="0"/>
          <w:numId w:val="1"/>
        </w:numPr>
        <w:ind w:left="714" w:hanging="357"/>
        <w:jc w:val="both"/>
      </w:pPr>
      <w:r w:rsidRPr="002B10FF">
        <w:t>How degree outcomes address sector reference points e.g.</w:t>
      </w:r>
      <w:r w:rsidR="000E7136">
        <w:t>,</w:t>
      </w:r>
      <w:r w:rsidRPr="002B10FF">
        <w:t xml:space="preserve"> the FHEQ and any relevant professional standards</w:t>
      </w:r>
      <w:r>
        <w:t>.</w:t>
      </w:r>
    </w:p>
    <w:p w14:paraId="6E2F8493" w14:textId="77777777" w:rsidR="001A1C90" w:rsidRPr="002B10FF" w:rsidRDefault="001A1C90" w:rsidP="00C04C5E">
      <w:pPr>
        <w:pStyle w:val="ListParagraph"/>
        <w:numPr>
          <w:ilvl w:val="0"/>
          <w:numId w:val="1"/>
        </w:numPr>
        <w:ind w:left="714" w:hanging="357"/>
        <w:jc w:val="both"/>
      </w:pPr>
      <w:r w:rsidRPr="002B10FF">
        <w:t>The Institution’s degree classification algorithm and how it is applied and reviewed</w:t>
      </w:r>
      <w:r>
        <w:t>.</w:t>
      </w:r>
    </w:p>
    <w:p w14:paraId="2FFDEC05" w14:textId="77777777" w:rsidR="001A1C90" w:rsidRPr="002B10FF" w:rsidRDefault="001A1C90" w:rsidP="00C04C5E">
      <w:pPr>
        <w:pStyle w:val="ListParagraph"/>
        <w:numPr>
          <w:ilvl w:val="0"/>
          <w:numId w:val="1"/>
        </w:numPr>
        <w:ind w:left="714" w:hanging="357"/>
        <w:jc w:val="both"/>
      </w:pPr>
      <w:r w:rsidRPr="002B10FF">
        <w:t>The role of committees and externality in assuring assessment outcomes</w:t>
      </w:r>
      <w:r>
        <w:t>.</w:t>
      </w:r>
    </w:p>
    <w:p w14:paraId="3B5455F5" w14:textId="77777777" w:rsidR="001A1C90" w:rsidRPr="002B10FF" w:rsidRDefault="001A1C90" w:rsidP="00C04C5E">
      <w:pPr>
        <w:pStyle w:val="ListParagraph"/>
        <w:numPr>
          <w:ilvl w:val="0"/>
          <w:numId w:val="1"/>
        </w:numPr>
        <w:ind w:left="714" w:hanging="357"/>
        <w:jc w:val="both"/>
      </w:pPr>
      <w:r w:rsidRPr="002B10FF">
        <w:lastRenderedPageBreak/>
        <w:t xml:space="preserve">Academic staff development for assessment, and how assessment practice is </w:t>
      </w:r>
      <w:proofErr w:type="gramStart"/>
      <w:r w:rsidRPr="002B10FF">
        <w:t>evaluated</w:t>
      </w:r>
      <w:proofErr w:type="gramEnd"/>
      <w:r w:rsidRPr="002B10FF">
        <w:t xml:space="preserve"> and good practice shared.</w:t>
      </w:r>
    </w:p>
    <w:p w14:paraId="2D725F30" w14:textId="4C9DE75F" w:rsidR="001A1C90" w:rsidRPr="002B10FF" w:rsidRDefault="00E01E93" w:rsidP="001A1C90">
      <w:pPr>
        <w:jc w:val="both"/>
      </w:pPr>
      <w:r>
        <w:t xml:space="preserve">The Institution </w:t>
      </w:r>
      <w:r w:rsidR="002C7747">
        <w:t>remains responsible for setting standards in relation to curriculum</w:t>
      </w:r>
      <w:r w:rsidR="001A1C90" w:rsidRPr="002B10FF">
        <w:t xml:space="preserve"> delivered by</w:t>
      </w:r>
      <w:r w:rsidR="00E610AE">
        <w:t>,</w:t>
      </w:r>
      <w:r w:rsidR="001A1C90" w:rsidRPr="002B10FF">
        <w:t xml:space="preserve"> or with</w:t>
      </w:r>
      <w:r w:rsidR="00E610AE">
        <w:t>,</w:t>
      </w:r>
      <w:r w:rsidR="001A1C90" w:rsidRPr="002B10FF">
        <w:t xml:space="preserve"> </w:t>
      </w:r>
      <w:r w:rsidR="002C7747">
        <w:t xml:space="preserve">an </w:t>
      </w:r>
      <w:r w:rsidR="001A1C90" w:rsidRPr="002B10FF">
        <w:t>academic partner organisation</w:t>
      </w:r>
      <w:r w:rsidR="00E610AE">
        <w:t xml:space="preserve">. </w:t>
      </w:r>
      <w:r w:rsidR="00707DAD">
        <w:t xml:space="preserve"> </w:t>
      </w:r>
      <w:r w:rsidR="00E610AE">
        <w:t>S</w:t>
      </w:r>
      <w:r w:rsidR="00707DAD">
        <w:t xml:space="preserve">uch </w:t>
      </w:r>
      <w:r w:rsidR="001A1C90" w:rsidRPr="002B10FF">
        <w:t>responsibilities may never be delegated</w:t>
      </w:r>
      <w:r w:rsidR="00707DAD">
        <w:t>.</w:t>
      </w:r>
      <w:r w:rsidR="001A1C90" w:rsidRPr="002B10FF">
        <w:t xml:space="preserve"> </w:t>
      </w:r>
      <w:r w:rsidR="00707DAD" w:rsidRPr="002B10FF">
        <w:t>H</w:t>
      </w:r>
      <w:r w:rsidR="001A1C90" w:rsidRPr="002B10FF">
        <w:t>owever</w:t>
      </w:r>
      <w:r w:rsidR="00707DAD">
        <w:t>,</w:t>
      </w:r>
      <w:r w:rsidR="001A1C90" w:rsidRPr="002B10FF">
        <w:t xml:space="preserve"> </w:t>
      </w:r>
      <w:r w:rsidR="001A1C90">
        <w:t>partners contribute to</w:t>
      </w:r>
      <w:r w:rsidR="001A1C90" w:rsidRPr="002B10FF">
        <w:t xml:space="preserve"> </w:t>
      </w:r>
      <w:r w:rsidR="00707DAD">
        <w:t>the maintenance of</w:t>
      </w:r>
      <w:r w:rsidR="001A1C90" w:rsidRPr="002B10FF">
        <w:t xml:space="preserve"> standards through </w:t>
      </w:r>
      <w:r w:rsidR="00707DAD">
        <w:t xml:space="preserve">engagement with </w:t>
      </w:r>
      <w:r w:rsidR="00303543">
        <w:t>our</w:t>
      </w:r>
      <w:r w:rsidR="001A1C90" w:rsidRPr="002B10FF">
        <w:t xml:space="preserve"> </w:t>
      </w:r>
      <w:r w:rsidR="00707DAD">
        <w:t xml:space="preserve">partner-specific </w:t>
      </w:r>
      <w:r w:rsidR="001A1C90" w:rsidRPr="002B10FF">
        <w:t>monitoring and review</w:t>
      </w:r>
      <w:r w:rsidR="00CD55C3">
        <w:t xml:space="preserve"> </w:t>
      </w:r>
      <w:r w:rsidR="001A1C90" w:rsidRPr="002B10FF">
        <w:t>processes</w:t>
      </w:r>
      <w:r w:rsidR="008F7FA4">
        <w:t xml:space="preserve"> (see chapter 5)</w:t>
      </w:r>
      <w:r w:rsidR="001A1C90" w:rsidRPr="002B10FF">
        <w:t>.</w:t>
      </w:r>
    </w:p>
    <w:p w14:paraId="406950C7" w14:textId="02195AF8" w:rsidR="00E16ED1" w:rsidRDefault="001A0301" w:rsidP="00E16ED1">
      <w:pPr>
        <w:contextualSpacing/>
        <w:jc w:val="both"/>
      </w:pPr>
      <w:r>
        <w:t>A</w:t>
      </w:r>
      <w:r w:rsidR="00B968C7">
        <w:t xml:space="preserve">cademic standards </w:t>
      </w:r>
      <w:r>
        <w:t>are</w:t>
      </w:r>
      <w:r w:rsidR="00B968C7">
        <w:t xml:space="preserve"> </w:t>
      </w:r>
      <w:r w:rsidR="00A81DF0">
        <w:t xml:space="preserve">either </w:t>
      </w:r>
      <w:r w:rsidR="00B968C7">
        <w:t>met or not</w:t>
      </w:r>
      <w:r w:rsidR="00A36FE4">
        <w:t>, i</w:t>
      </w:r>
      <w:r w:rsidR="00A81DF0">
        <w:t>t</w:t>
      </w:r>
      <w:r w:rsidR="00064624">
        <w:t xml:space="preserve"> is</w:t>
      </w:r>
      <w:r w:rsidR="00A81DF0">
        <w:t xml:space="preserve"> a binary judgement</w:t>
      </w:r>
      <w:r w:rsidR="00A36FE4">
        <w:t>.</w:t>
      </w:r>
      <w:r>
        <w:t xml:space="preserve"> </w:t>
      </w:r>
      <w:r w:rsidR="00A36FE4">
        <w:t>A</w:t>
      </w:r>
      <w:r w:rsidR="00B42AA0">
        <w:t>ssessing</w:t>
      </w:r>
      <w:r w:rsidR="001A1C90">
        <w:t xml:space="preserve"> </w:t>
      </w:r>
      <w:r w:rsidR="001A1C90" w:rsidRPr="00450FF5">
        <w:rPr>
          <w:b/>
          <w:bCs/>
        </w:rPr>
        <w:t>quality</w:t>
      </w:r>
      <w:r w:rsidR="001A1C90">
        <w:t xml:space="preserve"> is more challenging. The Regulatory Framework provides minimum b</w:t>
      </w:r>
      <w:r w:rsidR="001A1C90" w:rsidRPr="002B10FF">
        <w:t xml:space="preserve">aseline expectations </w:t>
      </w:r>
      <w:r w:rsidR="001A1C90">
        <w:t xml:space="preserve">for the </w:t>
      </w:r>
      <w:r w:rsidR="00E610AE" w:rsidRPr="004A494D">
        <w:t>quality</w:t>
      </w:r>
      <w:r w:rsidR="00E610AE">
        <w:t>;</w:t>
      </w:r>
      <w:r w:rsidR="001A1C90">
        <w:t xml:space="preserve"> however</w:t>
      </w:r>
      <w:r w:rsidR="00E610AE">
        <w:t>,</w:t>
      </w:r>
      <w:r w:rsidR="001A1C90">
        <w:t xml:space="preserve"> quality </w:t>
      </w:r>
      <w:r w:rsidR="00B923C1">
        <w:t xml:space="preserve">goes beyond </w:t>
      </w:r>
      <w:r w:rsidR="0052474F">
        <w:t>minimum expectations</w:t>
      </w:r>
      <w:r w:rsidR="00290E0F">
        <w:t xml:space="preserve"> as acknowledged in the TEF guidance</w:t>
      </w:r>
      <w:r w:rsidR="001A1C90">
        <w:t xml:space="preserve">. </w:t>
      </w:r>
      <w:r w:rsidR="00E74A01">
        <w:t>Quality is subjective and</w:t>
      </w:r>
      <w:r w:rsidR="002767BE">
        <w:t xml:space="preserve"> </w:t>
      </w:r>
      <w:r w:rsidR="00854761">
        <w:t>can be enhanced.</w:t>
      </w:r>
      <w:r w:rsidR="002767BE">
        <w:t xml:space="preserve"> </w:t>
      </w:r>
      <w:r w:rsidR="00E610AE">
        <w:t>External r</w:t>
      </w:r>
      <w:r w:rsidR="001A1C90">
        <w:t xml:space="preserve">eference points for quality </w:t>
      </w:r>
      <w:r w:rsidR="00854761">
        <w:t xml:space="preserve">enhancement </w:t>
      </w:r>
      <w:r w:rsidR="001A1C90">
        <w:t>are:</w:t>
      </w:r>
    </w:p>
    <w:p w14:paraId="686768B1" w14:textId="2C97E6D4" w:rsidR="001A1C90" w:rsidRDefault="001A1C90" w:rsidP="00E16ED1">
      <w:pPr>
        <w:pStyle w:val="ListParagraph"/>
        <w:numPr>
          <w:ilvl w:val="0"/>
          <w:numId w:val="28"/>
        </w:numPr>
        <w:jc w:val="both"/>
      </w:pPr>
      <w:r>
        <w:t xml:space="preserve">The </w:t>
      </w:r>
      <w:r w:rsidR="00D70CE5">
        <w:t>UKQCHE’s</w:t>
      </w:r>
      <w:r>
        <w:t xml:space="preserve"> and its </w:t>
      </w:r>
      <w:r w:rsidRPr="002B10FF">
        <w:t>supporting Advice and Guidance</w:t>
      </w:r>
      <w:r w:rsidR="008D465F">
        <w:t xml:space="preserve"> </w:t>
      </w:r>
      <w:r>
        <w:t xml:space="preserve">is a useful </w:t>
      </w:r>
      <w:r w:rsidRPr="002D0088">
        <w:t>reference point for enhancement beyond the minimum baselines</w:t>
      </w:r>
      <w:r w:rsidR="00FB5BF4">
        <w:t>; and,</w:t>
      </w:r>
    </w:p>
    <w:p w14:paraId="4D3A2393" w14:textId="1D26C4D2" w:rsidR="00D33DA3" w:rsidRPr="00D33DA3" w:rsidRDefault="00C32F98" w:rsidP="00D33DA3">
      <w:pPr>
        <w:pStyle w:val="ListParagraph"/>
        <w:numPr>
          <w:ilvl w:val="0"/>
          <w:numId w:val="19"/>
        </w:numPr>
        <w:jc w:val="both"/>
      </w:pPr>
      <w:r>
        <w:t xml:space="preserve">The </w:t>
      </w:r>
      <w:hyperlink r:id="rId29" w:history="1">
        <w:r w:rsidR="001A1C90" w:rsidRPr="00290E0F">
          <w:rPr>
            <w:rStyle w:val="Hyperlink"/>
          </w:rPr>
          <w:t>Competition and Markets Authority</w:t>
        </w:r>
      </w:hyperlink>
      <w:r w:rsidR="001A1C90" w:rsidRPr="002B10FF">
        <w:t xml:space="preserve"> (CMA)</w:t>
      </w:r>
      <w:r w:rsidR="001A1C90">
        <w:t xml:space="preserve"> </w:t>
      </w:r>
      <w:r w:rsidR="001A1C90" w:rsidRPr="002B10FF">
        <w:t xml:space="preserve">guidelines, and the Office of the Independent Adjudicator’s (OIA) </w:t>
      </w:r>
      <w:hyperlink r:id="rId30" w:history="1">
        <w:r w:rsidR="001A1C90" w:rsidRPr="001366C9">
          <w:rPr>
            <w:rStyle w:val="Hyperlink"/>
          </w:rPr>
          <w:t>Good Practice Framework</w:t>
        </w:r>
      </w:hyperlink>
      <w:r w:rsidR="001A1C90">
        <w:t xml:space="preserve"> </w:t>
      </w:r>
      <w:r w:rsidR="001A1C90" w:rsidRPr="002B10FF">
        <w:t>provide reference points for consumer and student protection.</w:t>
      </w:r>
    </w:p>
    <w:p w14:paraId="093A4675" w14:textId="49A1B65D" w:rsidR="00A6768D" w:rsidRDefault="00AF6277" w:rsidP="009357A9">
      <w:pPr>
        <w:contextualSpacing/>
        <w:jc w:val="both"/>
        <w:rPr>
          <w:bCs/>
        </w:rPr>
      </w:pPr>
      <w:r w:rsidRPr="00BB189E">
        <w:rPr>
          <w:b/>
        </w:rPr>
        <w:t>Quality E</w:t>
      </w:r>
      <w:r w:rsidR="009357A9" w:rsidRPr="00BB189E">
        <w:rPr>
          <w:b/>
        </w:rPr>
        <w:t>nhancement</w:t>
      </w:r>
      <w:r w:rsidR="009357A9" w:rsidRPr="009357A9">
        <w:rPr>
          <w:bCs/>
        </w:rPr>
        <w:t xml:space="preserve"> </w:t>
      </w:r>
      <w:r w:rsidR="00BB189E">
        <w:rPr>
          <w:bCs/>
        </w:rPr>
        <w:t>and</w:t>
      </w:r>
      <w:r w:rsidR="009357A9" w:rsidRPr="009357A9">
        <w:rPr>
          <w:bCs/>
        </w:rPr>
        <w:t xml:space="preserve"> effective quality assurance</w:t>
      </w:r>
      <w:r w:rsidR="00BB189E">
        <w:rPr>
          <w:bCs/>
        </w:rPr>
        <w:t xml:space="preserve"> are inextricably linked</w:t>
      </w:r>
      <w:r w:rsidR="002C45D6">
        <w:rPr>
          <w:bCs/>
        </w:rPr>
        <w:t xml:space="preserve"> (s</w:t>
      </w:r>
      <w:r w:rsidR="007F104B">
        <w:rPr>
          <w:bCs/>
        </w:rPr>
        <w:t>ee Figure 2</w:t>
      </w:r>
      <w:r w:rsidR="002C45D6">
        <w:rPr>
          <w:bCs/>
        </w:rPr>
        <w:t>)</w:t>
      </w:r>
      <w:r w:rsidR="009357A9" w:rsidRPr="009357A9">
        <w:rPr>
          <w:bCs/>
        </w:rPr>
        <w:t xml:space="preserve">, and </w:t>
      </w:r>
      <w:r w:rsidR="00BB189E">
        <w:rPr>
          <w:bCs/>
        </w:rPr>
        <w:t xml:space="preserve">the Institution </w:t>
      </w:r>
      <w:r w:rsidR="009357A9" w:rsidRPr="009357A9">
        <w:rPr>
          <w:bCs/>
        </w:rPr>
        <w:t>is fully committed to ‘</w:t>
      </w:r>
      <w:r w:rsidR="009357A9" w:rsidRPr="007E4B41">
        <w:rPr>
          <w:bCs/>
          <w:i/>
          <w:iCs/>
        </w:rPr>
        <w:t>doing things better</w:t>
      </w:r>
      <w:r w:rsidR="009357A9" w:rsidRPr="009357A9">
        <w:rPr>
          <w:bCs/>
        </w:rPr>
        <w:t>’ - assuring quality so that it always exceeds baseline expectations; and ‘</w:t>
      </w:r>
      <w:r w:rsidR="009357A9" w:rsidRPr="007E4B41">
        <w:rPr>
          <w:bCs/>
          <w:i/>
          <w:iCs/>
        </w:rPr>
        <w:t>doing better things</w:t>
      </w:r>
      <w:r w:rsidR="009357A9" w:rsidRPr="009357A9">
        <w:rPr>
          <w:bCs/>
        </w:rPr>
        <w:t>’ - harnessing creativity and integrating and applying knowledge and practice to enhance quality</w:t>
      </w:r>
      <w:r w:rsidR="001435C2">
        <w:rPr>
          <w:rStyle w:val="FootnoteReference"/>
          <w:bCs/>
        </w:rPr>
        <w:footnoteReference w:id="10"/>
      </w:r>
      <w:r w:rsidR="009357A9" w:rsidRPr="009357A9">
        <w:rPr>
          <w:bCs/>
        </w:rPr>
        <w:t xml:space="preserve">. Our strategy for quality management therefore extends beyond simple assurance and the </w:t>
      </w:r>
      <w:r w:rsidR="009B23BE">
        <w:rPr>
          <w:bCs/>
        </w:rPr>
        <w:t xml:space="preserve">mitigation of </w:t>
      </w:r>
      <w:r w:rsidR="009357A9" w:rsidRPr="009357A9">
        <w:rPr>
          <w:bCs/>
        </w:rPr>
        <w:t>risks, to celebrating successes and identifying and sharing good practice</w:t>
      </w:r>
      <w:r w:rsidR="00A41C15">
        <w:rPr>
          <w:bCs/>
        </w:rPr>
        <w:t>.</w:t>
      </w:r>
      <w:r w:rsidR="00250C15">
        <w:rPr>
          <w:bCs/>
        </w:rPr>
        <w:t xml:space="preserve"> </w:t>
      </w:r>
    </w:p>
    <w:p w14:paraId="6E174E1B" w14:textId="77777777" w:rsidR="00A6768D" w:rsidRDefault="00A6768D" w:rsidP="009357A9">
      <w:pPr>
        <w:contextualSpacing/>
        <w:jc w:val="both"/>
        <w:rPr>
          <w:bCs/>
        </w:rPr>
      </w:pPr>
    </w:p>
    <w:p w14:paraId="65EC2E34" w14:textId="106AEA89" w:rsidR="000F63F9" w:rsidRDefault="009357A9" w:rsidP="009357A9">
      <w:pPr>
        <w:contextualSpacing/>
        <w:jc w:val="both"/>
        <w:rPr>
          <w:bCs/>
        </w:rPr>
      </w:pPr>
      <w:r w:rsidRPr="009357A9">
        <w:rPr>
          <w:bCs/>
        </w:rPr>
        <w:t>Routine quality assurance activities identify</w:t>
      </w:r>
      <w:r w:rsidR="007A3A36">
        <w:rPr>
          <w:bCs/>
        </w:rPr>
        <w:t xml:space="preserve"> potential</w:t>
      </w:r>
      <w:r w:rsidRPr="009357A9">
        <w:rPr>
          <w:bCs/>
        </w:rPr>
        <w:t xml:space="preserve"> good practice</w:t>
      </w:r>
      <w:r w:rsidR="000F660A" w:rsidRPr="000F660A">
        <w:rPr>
          <w:bCs/>
        </w:rPr>
        <w:t xml:space="preserve"> </w:t>
      </w:r>
      <w:r w:rsidR="000F660A" w:rsidRPr="009357A9">
        <w:rPr>
          <w:bCs/>
        </w:rPr>
        <w:t xml:space="preserve">with dissemination via </w:t>
      </w:r>
      <w:r w:rsidR="000F660A">
        <w:rPr>
          <w:bCs/>
        </w:rPr>
        <w:t>Academic Board committees</w:t>
      </w:r>
      <w:r w:rsidR="007A3A36">
        <w:rPr>
          <w:bCs/>
        </w:rPr>
        <w:t>. The University’s Centre for Learning and Teaching evaluate</w:t>
      </w:r>
      <w:r w:rsidRPr="009357A9">
        <w:rPr>
          <w:bCs/>
        </w:rPr>
        <w:t xml:space="preserve"> its transferability to other settings and contexts, and </w:t>
      </w:r>
      <w:r w:rsidR="001446CF">
        <w:rPr>
          <w:bCs/>
        </w:rPr>
        <w:t xml:space="preserve">it is used to inform </w:t>
      </w:r>
      <w:r w:rsidRPr="009357A9">
        <w:rPr>
          <w:bCs/>
        </w:rPr>
        <w:t xml:space="preserve">staff professional development activities. </w:t>
      </w:r>
      <w:r w:rsidR="00250C15">
        <w:rPr>
          <w:bCs/>
        </w:rPr>
        <w:t>E</w:t>
      </w:r>
      <w:r w:rsidRPr="009357A9">
        <w:rPr>
          <w:bCs/>
        </w:rPr>
        <w:t>nhancement</w:t>
      </w:r>
      <w:r w:rsidR="00A754FA">
        <w:rPr>
          <w:bCs/>
        </w:rPr>
        <w:t>, however,</w:t>
      </w:r>
      <w:r w:rsidRPr="009357A9">
        <w:rPr>
          <w:bCs/>
        </w:rPr>
        <w:t xml:space="preserve"> is more than a collection of examples of good practice</w:t>
      </w:r>
      <w:r w:rsidR="00A754FA">
        <w:rPr>
          <w:bCs/>
        </w:rPr>
        <w:t>. It originates</w:t>
      </w:r>
      <w:r w:rsidR="008011C4">
        <w:rPr>
          <w:bCs/>
        </w:rPr>
        <w:t xml:space="preserve"> through an embedded</w:t>
      </w:r>
      <w:r w:rsidR="00616079">
        <w:rPr>
          <w:bCs/>
        </w:rPr>
        <w:t>,</w:t>
      </w:r>
      <w:r w:rsidRPr="009357A9">
        <w:rPr>
          <w:bCs/>
        </w:rPr>
        <w:t xml:space="preserve"> high-level </w:t>
      </w:r>
      <w:r w:rsidR="008011C4">
        <w:rPr>
          <w:bCs/>
        </w:rPr>
        <w:t xml:space="preserve">cultural </w:t>
      </w:r>
      <w:r w:rsidRPr="009357A9">
        <w:rPr>
          <w:bCs/>
        </w:rPr>
        <w:t xml:space="preserve">awareness of the need </w:t>
      </w:r>
      <w:r w:rsidR="008011C4">
        <w:rPr>
          <w:bCs/>
        </w:rPr>
        <w:t>for continuous improvement</w:t>
      </w:r>
      <w:r w:rsidRPr="009357A9">
        <w:rPr>
          <w:bCs/>
        </w:rPr>
        <w:t xml:space="preserve">. </w:t>
      </w:r>
    </w:p>
    <w:p w14:paraId="70B43287" w14:textId="4C035E0D" w:rsidR="00386BF8" w:rsidRDefault="00386BF8" w:rsidP="009357A9">
      <w:pPr>
        <w:contextualSpacing/>
        <w:jc w:val="both"/>
        <w:rPr>
          <w:bCs/>
        </w:rPr>
      </w:pPr>
    </w:p>
    <w:p w14:paraId="383C000D" w14:textId="073236C5" w:rsidR="00386BF8" w:rsidRDefault="002C45D6" w:rsidP="009357A9">
      <w:pPr>
        <w:contextualSpacing/>
        <w:jc w:val="both"/>
        <w:rPr>
          <w:rStyle w:val="normaltextrun"/>
          <w:rFonts w:cs="Calibri"/>
          <w:color w:val="000000"/>
          <w:shd w:val="clear" w:color="auto" w:fill="FFFFFF"/>
        </w:rPr>
      </w:pPr>
      <w:r>
        <w:rPr>
          <w:rStyle w:val="normaltextrun"/>
          <w:rFonts w:cs="Calibri"/>
          <w:color w:val="000000"/>
          <w:shd w:val="clear" w:color="auto" w:fill="FFFFFF"/>
        </w:rPr>
        <w:t xml:space="preserve">Whilst a systematic approach to enhancement requires </w:t>
      </w:r>
      <w:r w:rsidR="00245F08">
        <w:rPr>
          <w:rStyle w:val="normaltextrun"/>
          <w:rFonts w:cs="Calibri"/>
          <w:color w:val="000000"/>
          <w:shd w:val="clear" w:color="auto" w:fill="FFFFFF"/>
        </w:rPr>
        <w:t>a</w:t>
      </w:r>
      <w:r>
        <w:rPr>
          <w:rStyle w:val="normaltextrun"/>
          <w:rFonts w:cs="Calibri"/>
          <w:color w:val="000000"/>
          <w:shd w:val="clear" w:color="auto" w:fill="FFFFFF"/>
        </w:rPr>
        <w:t xml:space="preserve"> degree of central coordination this does not necessitate a uniform or ‘one size fits all’ approach, and the most effective systems are those that supplement formal structures and processes with informal networks and communication chains formed across and between Institutional stakeholders</w:t>
      </w:r>
      <w:r w:rsidR="003945C1">
        <w:rPr>
          <w:rStyle w:val="normaltextrun"/>
          <w:rFonts w:cs="Calibri"/>
          <w:color w:val="000000"/>
          <w:shd w:val="clear" w:color="auto" w:fill="FFFFFF"/>
        </w:rPr>
        <w:t>.</w:t>
      </w:r>
    </w:p>
    <w:p w14:paraId="3988C6AE" w14:textId="77777777" w:rsidR="00DC7891" w:rsidRPr="00DC7891" w:rsidRDefault="00DC7891" w:rsidP="009357A9">
      <w:pPr>
        <w:contextualSpacing/>
        <w:jc w:val="both"/>
        <w:rPr>
          <w:rFonts w:cs="Calibri"/>
          <w:b/>
          <w:bCs/>
          <w:color w:val="000000"/>
          <w:szCs w:val="24"/>
          <w:shd w:val="clear" w:color="auto" w:fill="FFFFFF"/>
        </w:rPr>
      </w:pPr>
    </w:p>
    <w:p w14:paraId="48E7A8D3" w14:textId="18B5535D" w:rsidR="007A1CE8" w:rsidRDefault="00610744" w:rsidP="00177743">
      <w:pPr>
        <w:contextualSpacing/>
        <w:jc w:val="both"/>
      </w:pPr>
      <w:r>
        <w:t>The Institution’s</w:t>
      </w:r>
      <w:r w:rsidRPr="00610744">
        <w:t xml:space="preserve"> approach to enhancement, </w:t>
      </w:r>
      <w:r w:rsidR="009A5C93">
        <w:t>therefore,</w:t>
      </w:r>
      <w:r w:rsidR="00B94566">
        <w:t xml:space="preserve"> </w:t>
      </w:r>
      <w:r w:rsidRPr="00610744">
        <w:t xml:space="preserve">comprises an array of different processes, </w:t>
      </w:r>
      <w:proofErr w:type="gramStart"/>
      <w:r w:rsidRPr="00610744">
        <w:t>tools</w:t>
      </w:r>
      <w:proofErr w:type="gramEnd"/>
      <w:r w:rsidRPr="00610744">
        <w:t xml:space="preserve"> and activities </w:t>
      </w:r>
      <w:r w:rsidR="00455DC4">
        <w:t>(</w:t>
      </w:r>
      <w:r w:rsidRPr="00610744">
        <w:t xml:space="preserve">developed and implemented across </w:t>
      </w:r>
      <w:r w:rsidR="00455DC4">
        <w:t>f</w:t>
      </w:r>
      <w:r w:rsidRPr="00610744">
        <w:t xml:space="preserve">aculties </w:t>
      </w:r>
      <w:r w:rsidR="00455DC4" w:rsidRPr="00610744">
        <w:t>and departments</w:t>
      </w:r>
      <w:r w:rsidR="00455DC4">
        <w:t>)</w:t>
      </w:r>
      <w:r w:rsidR="00455DC4" w:rsidRPr="00610744">
        <w:t xml:space="preserve"> </w:t>
      </w:r>
      <w:r w:rsidR="00455DC4">
        <w:t>that</w:t>
      </w:r>
      <w:r w:rsidRPr="00610744">
        <w:t xml:space="preserve"> </w:t>
      </w:r>
      <w:r w:rsidR="00983FA4">
        <w:t>share</w:t>
      </w:r>
      <w:r w:rsidRPr="00610744">
        <w:t xml:space="preserve"> the </w:t>
      </w:r>
      <w:r w:rsidR="00455DC4">
        <w:t>following</w:t>
      </w:r>
      <w:r w:rsidRPr="00610744">
        <w:t xml:space="preserve"> eight aims:</w:t>
      </w:r>
    </w:p>
    <w:p w14:paraId="0416913B" w14:textId="2B538A07" w:rsidR="00D77213" w:rsidRPr="002E49BA" w:rsidRDefault="00D77213"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lastRenderedPageBreak/>
        <w:t>To embed a culture and commitment to enhancement in the University’s mission, </w:t>
      </w:r>
      <w:proofErr w:type="gramStart"/>
      <w:r w:rsidRPr="002E49BA">
        <w:rPr>
          <w:rStyle w:val="normaltextrun"/>
          <w:rFonts w:cs="Calibri"/>
          <w:color w:val="000000"/>
          <w:shd w:val="clear" w:color="auto" w:fill="FFFFFF"/>
        </w:rPr>
        <w:t>policies</w:t>
      </w:r>
      <w:proofErr w:type="gramEnd"/>
      <w:r w:rsidRPr="002E49BA">
        <w:rPr>
          <w:rStyle w:val="normaltextrun"/>
          <w:rFonts w:cs="Calibri"/>
          <w:color w:val="000000"/>
          <w:shd w:val="clear" w:color="auto" w:fill="FFFFFF"/>
        </w:rPr>
        <w:t> and strategies.</w:t>
      </w:r>
      <w:r w:rsidRPr="002E49BA">
        <w:rPr>
          <w:rStyle w:val="eop"/>
          <w:rFonts w:cs="Calibri"/>
          <w:color w:val="000000"/>
          <w:shd w:val="clear" w:color="auto" w:fill="FFFFFF"/>
        </w:rPr>
        <w:t> </w:t>
      </w:r>
    </w:p>
    <w:p w14:paraId="3EE2F187" w14:textId="16620E92" w:rsidR="00D77213" w:rsidRPr="002E49BA" w:rsidRDefault="00D77213" w:rsidP="00177743">
      <w:pPr>
        <w:pStyle w:val="ListParagraph"/>
        <w:numPr>
          <w:ilvl w:val="0"/>
          <w:numId w:val="32"/>
        </w:numPr>
        <w:ind w:left="714" w:hanging="357"/>
        <w:jc w:val="both"/>
      </w:pPr>
      <w:r w:rsidRPr="002E49BA">
        <w:rPr>
          <w:rFonts w:cs="Calibri"/>
          <w:color w:val="000000"/>
          <w:shd w:val="clear" w:color="auto" w:fill="FFFFFF"/>
        </w:rPr>
        <w:t xml:space="preserve">To use formal and informal mechanisms to identify potential good practice wherever and whenever it is occurring within the student lifecycle, from pre-enrolment to completion and </w:t>
      </w:r>
      <w:proofErr w:type="gramStart"/>
      <w:r w:rsidRPr="002E49BA">
        <w:rPr>
          <w:rFonts w:cs="Calibri"/>
          <w:color w:val="000000"/>
          <w:shd w:val="clear" w:color="auto" w:fill="FFFFFF"/>
        </w:rPr>
        <w:t>beyond</w:t>
      </w:r>
      <w:proofErr w:type="gramEnd"/>
    </w:p>
    <w:p w14:paraId="4AD5B8FA" w14:textId="5E959CD4" w:rsidR="00D77213" w:rsidRPr="002E49BA" w:rsidRDefault="0054277F"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evaluate and confirm that it is good practice and capable of being transferred to other settings and contexts.</w:t>
      </w:r>
      <w:r w:rsidRPr="002E49BA">
        <w:rPr>
          <w:rStyle w:val="eop"/>
          <w:rFonts w:cs="Calibri"/>
          <w:color w:val="000000"/>
          <w:shd w:val="clear" w:color="auto" w:fill="FFFFFF"/>
        </w:rPr>
        <w:t> </w:t>
      </w:r>
    </w:p>
    <w:p w14:paraId="2CAE4EFA" w14:textId="162517FB" w:rsidR="0054277F" w:rsidRPr="002E49BA" w:rsidRDefault="0054277F"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identify or develop vehicles for dissemination within and between departments, </w:t>
      </w:r>
      <w:proofErr w:type="gramStart"/>
      <w:r w:rsidRPr="002E49BA">
        <w:rPr>
          <w:rStyle w:val="normaltextrun"/>
          <w:rFonts w:cs="Calibri"/>
          <w:color w:val="000000"/>
          <w:shd w:val="clear" w:color="auto" w:fill="FFFFFF"/>
        </w:rPr>
        <w:t>Faculties</w:t>
      </w:r>
      <w:proofErr w:type="gramEnd"/>
      <w:r w:rsidRPr="002E49BA">
        <w:rPr>
          <w:rStyle w:val="normaltextrun"/>
          <w:rFonts w:cs="Calibri"/>
          <w:color w:val="000000"/>
          <w:shd w:val="clear" w:color="auto" w:fill="FFFFFF"/>
        </w:rPr>
        <w:t> and support services (and externally) which are workable and sustainable and do not add additional burden.</w:t>
      </w:r>
      <w:r w:rsidRPr="002E49BA">
        <w:rPr>
          <w:rStyle w:val="eop"/>
          <w:rFonts w:cs="Calibri"/>
          <w:color w:val="000000"/>
          <w:shd w:val="clear" w:color="auto" w:fill="FFFFFF"/>
        </w:rPr>
        <w:t> </w:t>
      </w:r>
    </w:p>
    <w:p w14:paraId="2815A465" w14:textId="16864557" w:rsidR="0054277F" w:rsidRPr="002E49BA" w:rsidRDefault="00036EF4"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apply said practice in new settings and (ideally) improve upon it. </w:t>
      </w:r>
      <w:r w:rsidRPr="002E49BA">
        <w:rPr>
          <w:rStyle w:val="eop"/>
          <w:rFonts w:cs="Calibri"/>
          <w:color w:val="000000"/>
          <w:shd w:val="clear" w:color="auto" w:fill="FFFFFF"/>
        </w:rPr>
        <w:t> </w:t>
      </w:r>
    </w:p>
    <w:p w14:paraId="381ED713" w14:textId="38BA7D40" w:rsidR="00036EF4" w:rsidRPr="002E49BA" w:rsidRDefault="00036EF4" w:rsidP="00177743">
      <w:pPr>
        <w:pStyle w:val="ListParagraph"/>
        <w:numPr>
          <w:ilvl w:val="0"/>
          <w:numId w:val="32"/>
        </w:numPr>
        <w:ind w:left="714" w:hanging="357"/>
        <w:jc w:val="both"/>
      </w:pPr>
      <w:r w:rsidRPr="002E49BA">
        <w:rPr>
          <w:rFonts w:cs="Calibri"/>
          <w:color w:val="000000"/>
          <w:shd w:val="clear" w:color="auto" w:fill="FFFFFF"/>
        </w:rPr>
        <w:t>To monitor and evaluate its impact, engaging students in co-creating and evaluating good practice and sharing or cascading the outcomes.</w:t>
      </w:r>
    </w:p>
    <w:p w14:paraId="6563DC1C" w14:textId="3CE36E0C" w:rsidR="00A225CF" w:rsidRPr="002E49BA" w:rsidRDefault="00A225CF" w:rsidP="00177743">
      <w:pPr>
        <w:pStyle w:val="ListParagraph"/>
        <w:numPr>
          <w:ilvl w:val="0"/>
          <w:numId w:val="32"/>
        </w:numPr>
        <w:ind w:left="714" w:hanging="357"/>
        <w:jc w:val="both"/>
      </w:pPr>
      <w:r w:rsidRPr="002E49BA">
        <w:rPr>
          <w:rFonts w:cs="Calibri"/>
          <w:color w:val="000000"/>
          <w:shd w:val="clear" w:color="auto" w:fill="FFFFFF"/>
        </w:rPr>
        <w:t>To benchmark against best sector practice and use this to enhance the quality of learning opportunities for Edge Hill students.</w:t>
      </w:r>
    </w:p>
    <w:p w14:paraId="7C019AD9" w14:textId="70943CA0" w:rsidR="00A225CF" w:rsidRPr="002E49BA" w:rsidRDefault="00A225CF" w:rsidP="00177743">
      <w:pPr>
        <w:pStyle w:val="ListParagraph"/>
        <w:numPr>
          <w:ilvl w:val="0"/>
          <w:numId w:val="32"/>
        </w:numPr>
        <w:ind w:left="714" w:hanging="357"/>
        <w:jc w:val="both"/>
      </w:pPr>
      <w:r w:rsidRPr="002E49BA">
        <w:rPr>
          <w:rFonts w:cs="Calibri"/>
          <w:color w:val="000000"/>
          <w:shd w:val="clear" w:color="auto" w:fill="FFFFFF"/>
        </w:rPr>
        <w:t xml:space="preserve">To undertake ongoing reflection on (and enhancement of) our enhancement processes themselves as they evolve </w:t>
      </w:r>
      <w:proofErr w:type="gramStart"/>
      <w:r w:rsidRPr="002E49BA">
        <w:rPr>
          <w:rFonts w:cs="Calibri"/>
          <w:color w:val="000000"/>
          <w:shd w:val="clear" w:color="auto" w:fill="FFFFFF"/>
        </w:rPr>
        <w:t>further</w:t>
      </w:r>
      <w:proofErr w:type="gramEnd"/>
    </w:p>
    <w:p w14:paraId="5E6081AF" w14:textId="02AFBA03" w:rsidR="00363475" w:rsidRPr="00D44F65" w:rsidRDefault="008F7C65" w:rsidP="008A2C8C">
      <w:pPr>
        <w:pStyle w:val="Heading2"/>
      </w:pPr>
      <w:bookmarkStart w:id="15" w:name="_Toc146807850"/>
      <w:r w:rsidRPr="00D44F65">
        <w:t xml:space="preserve">Designing </w:t>
      </w:r>
      <w:r w:rsidR="00BC0AE5">
        <w:t xml:space="preserve">our </w:t>
      </w:r>
      <w:r w:rsidRPr="00D44F65">
        <w:t>Quality Assurance Systems</w:t>
      </w:r>
      <w:bookmarkEnd w:id="15"/>
      <w:r w:rsidR="00042928" w:rsidRPr="00D44F65">
        <w:t xml:space="preserve"> </w:t>
      </w:r>
    </w:p>
    <w:p w14:paraId="72F51770" w14:textId="77777777" w:rsidR="00E16ED1" w:rsidRDefault="00BE6528" w:rsidP="00E16ED1">
      <w:pPr>
        <w:contextualSpacing/>
        <w:jc w:val="both"/>
      </w:pPr>
      <w:r>
        <w:t>A</w:t>
      </w:r>
      <w:r w:rsidR="00363475" w:rsidRPr="00711237">
        <w:t>ll</w:t>
      </w:r>
      <w:r w:rsidR="00F4392C">
        <w:t xml:space="preserve"> </w:t>
      </w:r>
      <w:r>
        <w:t xml:space="preserve">quality assurance systems and processes </w:t>
      </w:r>
      <w:r w:rsidR="00F4392C">
        <w:t>in place</w:t>
      </w:r>
      <w:r w:rsidR="00363475" w:rsidRPr="00711237">
        <w:t xml:space="preserve"> must add value to the Institution by contributing to one or more of the following measures of value:</w:t>
      </w:r>
    </w:p>
    <w:p w14:paraId="264CB17C" w14:textId="2DE848E6" w:rsidR="00F6101E" w:rsidRDefault="00F6101E" w:rsidP="00E16ED1">
      <w:pPr>
        <w:pStyle w:val="ListParagraph"/>
        <w:numPr>
          <w:ilvl w:val="0"/>
          <w:numId w:val="19"/>
        </w:numPr>
        <w:jc w:val="both"/>
      </w:pPr>
      <w:r>
        <w:t xml:space="preserve">Secures academic standards through </w:t>
      </w:r>
      <w:r w:rsidRPr="00505865">
        <w:t>align</w:t>
      </w:r>
      <w:r>
        <w:t>ment</w:t>
      </w:r>
      <w:r w:rsidRPr="00505865">
        <w:t xml:space="preserve"> </w:t>
      </w:r>
      <w:r>
        <w:t>with the FHEQ,</w:t>
      </w:r>
      <w:r w:rsidRPr="00505865">
        <w:t xml:space="preserve"> </w:t>
      </w:r>
      <w:r>
        <w:t xml:space="preserve">any </w:t>
      </w:r>
      <w:r w:rsidRPr="00505865">
        <w:t>relevant professional standards and requirements of Professional Statutory and Regulatory Bodies (PSBRs</w:t>
      </w:r>
      <w:proofErr w:type="gramStart"/>
      <w:r w:rsidRPr="00505865">
        <w:t>);</w:t>
      </w:r>
      <w:proofErr w:type="gramEnd"/>
    </w:p>
    <w:p w14:paraId="3C1C642C" w14:textId="16C050F0" w:rsidR="00D44F65" w:rsidRDefault="00D44F65" w:rsidP="00E16ED1">
      <w:pPr>
        <w:pStyle w:val="ListParagraph"/>
        <w:numPr>
          <w:ilvl w:val="0"/>
          <w:numId w:val="19"/>
        </w:numPr>
        <w:jc w:val="both"/>
      </w:pPr>
      <w:r w:rsidRPr="00711237">
        <w:t>Enhances the student experience</w:t>
      </w:r>
      <w:r>
        <w:t xml:space="preserve"> (either indirectly or directly</w:t>
      </w:r>
      <w:proofErr w:type="gramStart"/>
      <w:r>
        <w:t>)</w:t>
      </w:r>
      <w:r w:rsidRPr="00711237">
        <w:t>;</w:t>
      </w:r>
      <w:proofErr w:type="gramEnd"/>
    </w:p>
    <w:p w14:paraId="1DAA91C8" w14:textId="71859624" w:rsidR="00363475" w:rsidRDefault="00363475" w:rsidP="00E16ED1">
      <w:pPr>
        <w:pStyle w:val="ListParagraph"/>
        <w:numPr>
          <w:ilvl w:val="0"/>
          <w:numId w:val="19"/>
        </w:numPr>
        <w:jc w:val="both"/>
      </w:pPr>
      <w:r w:rsidRPr="00711237">
        <w:t xml:space="preserve">Assists in demonstrating </w:t>
      </w:r>
      <w:r w:rsidR="00B300BA">
        <w:t xml:space="preserve">ongoing </w:t>
      </w:r>
      <w:r w:rsidRPr="00711237">
        <w:t xml:space="preserve">compliance with the </w:t>
      </w:r>
      <w:proofErr w:type="spellStart"/>
      <w:r w:rsidRPr="00711237">
        <w:t>OfS’s</w:t>
      </w:r>
      <w:proofErr w:type="spellEnd"/>
      <w:r w:rsidRPr="00711237">
        <w:t xml:space="preserve"> Regulatory Framework;</w:t>
      </w:r>
      <w:r w:rsidR="00D44F65">
        <w:t xml:space="preserve"> </w:t>
      </w:r>
      <w:r w:rsidRPr="00711237">
        <w:t>and/or,</w:t>
      </w:r>
    </w:p>
    <w:p w14:paraId="3A64D402" w14:textId="297DBDF6" w:rsidR="00363475" w:rsidRDefault="00363475" w:rsidP="00363475">
      <w:pPr>
        <w:pStyle w:val="ListParagraph"/>
        <w:numPr>
          <w:ilvl w:val="0"/>
          <w:numId w:val="19"/>
        </w:numPr>
        <w:jc w:val="both"/>
      </w:pPr>
      <w:r w:rsidRPr="00711237">
        <w:t>Contributes to the achievement of a strategic aim.</w:t>
      </w:r>
    </w:p>
    <w:p w14:paraId="757764AF" w14:textId="33B7B972" w:rsidR="007C6615" w:rsidRDefault="00F4392C" w:rsidP="00C24CA0">
      <w:pPr>
        <w:contextualSpacing/>
        <w:jc w:val="both"/>
      </w:pPr>
      <w:r>
        <w:t xml:space="preserve">To this end, all processes are designed </w:t>
      </w:r>
      <w:r w:rsidR="00A417C8">
        <w:t>and evaluated</w:t>
      </w:r>
      <w:r w:rsidR="006222B4">
        <w:t xml:space="preserve"> </w:t>
      </w:r>
      <w:r w:rsidR="00FB5BF4">
        <w:t>against</w:t>
      </w:r>
      <w:r>
        <w:t xml:space="preserve"> the </w:t>
      </w:r>
      <w:r w:rsidR="00526D51">
        <w:t xml:space="preserve">7 </w:t>
      </w:r>
      <w:r>
        <w:t>principles</w:t>
      </w:r>
      <w:r w:rsidR="00BF1DFA">
        <w:t xml:space="preserve"> presented in Figure </w:t>
      </w:r>
      <w:r w:rsidR="007C6615">
        <w:t>2</w:t>
      </w:r>
      <w:r w:rsidR="00BF1DFA">
        <w:t>.</w:t>
      </w:r>
      <w:r w:rsidR="00711237" w:rsidRPr="00711237">
        <w:t xml:space="preserve"> </w:t>
      </w:r>
    </w:p>
    <w:p w14:paraId="3C01F090" w14:textId="77777777" w:rsidR="000D4E3E" w:rsidRDefault="000D4E3E" w:rsidP="00C24CA0">
      <w:pPr>
        <w:contextualSpacing/>
        <w:jc w:val="both"/>
        <w:rPr>
          <w:b/>
          <w:bCs/>
          <w:sz w:val="20"/>
          <w:szCs w:val="20"/>
        </w:rPr>
      </w:pPr>
    </w:p>
    <w:p w14:paraId="1111CB5E" w14:textId="18DE8816" w:rsidR="004B4F02" w:rsidRDefault="00BF1DFA" w:rsidP="00C24CA0">
      <w:pPr>
        <w:contextualSpacing/>
        <w:jc w:val="both"/>
        <w:rPr>
          <w:b/>
          <w:bCs/>
          <w:sz w:val="20"/>
          <w:szCs w:val="20"/>
        </w:rPr>
      </w:pPr>
      <w:r w:rsidRPr="002111D7">
        <w:rPr>
          <w:b/>
          <w:bCs/>
          <w:sz w:val="20"/>
          <w:szCs w:val="20"/>
        </w:rPr>
        <w:t xml:space="preserve">Figure </w:t>
      </w:r>
      <w:r w:rsidR="007C6615">
        <w:rPr>
          <w:b/>
          <w:bCs/>
          <w:sz w:val="20"/>
          <w:szCs w:val="20"/>
        </w:rPr>
        <w:t>2</w:t>
      </w:r>
      <w:r w:rsidRPr="002111D7">
        <w:rPr>
          <w:b/>
          <w:bCs/>
          <w:sz w:val="20"/>
          <w:szCs w:val="20"/>
        </w:rPr>
        <w:t xml:space="preserve">: </w:t>
      </w:r>
      <w:r w:rsidR="007137C6" w:rsidRPr="002111D7">
        <w:rPr>
          <w:b/>
          <w:bCs/>
          <w:sz w:val="20"/>
          <w:szCs w:val="20"/>
        </w:rPr>
        <w:t>Process Design Principles</w:t>
      </w:r>
    </w:p>
    <w:p w14:paraId="07AABBE0" w14:textId="1111496E" w:rsidR="002111D7" w:rsidRPr="002111D7" w:rsidRDefault="002111D7" w:rsidP="00C24CA0">
      <w:pPr>
        <w:contextualSpacing/>
        <w:jc w:val="both"/>
        <w:rPr>
          <w:b/>
          <w:bCs/>
          <w:sz w:val="20"/>
          <w:szCs w:val="20"/>
        </w:rPr>
      </w:pPr>
    </w:p>
    <w:p w14:paraId="015DAD5E" w14:textId="5F3AB8EE" w:rsidR="00616275" w:rsidRDefault="007C6615" w:rsidP="00C24CA0">
      <w:pPr>
        <w:contextualSpacing/>
        <w:jc w:val="both"/>
      </w:pPr>
      <w:r>
        <w:rPr>
          <w:noProof/>
        </w:rPr>
        <mc:AlternateContent>
          <mc:Choice Requires="wpg">
            <w:drawing>
              <wp:anchor distT="0" distB="0" distL="114300" distR="114300" simplePos="0" relativeHeight="251641857" behindDoc="0" locked="0" layoutInCell="1" allowOverlap="1" wp14:anchorId="370DC2CD" wp14:editId="6AE28337">
                <wp:simplePos x="0" y="0"/>
                <wp:positionH relativeFrom="margin">
                  <wp:posOffset>-9525</wp:posOffset>
                </wp:positionH>
                <wp:positionV relativeFrom="paragraph">
                  <wp:posOffset>55245</wp:posOffset>
                </wp:positionV>
                <wp:extent cx="6140450" cy="3199765"/>
                <wp:effectExtent l="0" t="0" r="12700" b="196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40450" cy="3199765"/>
                          <a:chOff x="675609" y="2"/>
                          <a:chExt cx="5369591" cy="4466174"/>
                        </a:xfrm>
                      </wpg:grpSpPr>
                      <wps:wsp>
                        <wps:cNvPr id="1" name="Flowchart: Connector 1"/>
                        <wps:cNvSpPr/>
                        <wps:spPr>
                          <a:xfrm>
                            <a:off x="675609" y="1305117"/>
                            <a:ext cx="1136303" cy="1771757"/>
                          </a:xfrm>
                          <a:prstGeom prst="flowChartConnector">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A5AA3" w14:textId="592DC993" w:rsidR="004E0820" w:rsidRPr="00AE7171" w:rsidRDefault="00AE7171" w:rsidP="00616275">
                              <w:pPr>
                                <w:jc w:val="center"/>
                                <w:rPr>
                                  <w:rFonts w:asciiTheme="minorHAnsi" w:hAnsiTheme="minorHAnsi" w:cstheme="minorHAnsi"/>
                                  <w:szCs w:val="24"/>
                                </w:rPr>
                              </w:pPr>
                              <w:r w:rsidRPr="00AE7171">
                                <w:rPr>
                                  <w:rFonts w:asciiTheme="minorHAnsi" w:hAnsiTheme="minorHAnsi" w:cstheme="minorHAnsi"/>
                                  <w:szCs w:val="24"/>
                                  <w:highlight w:val="black"/>
                                </w:rPr>
                                <w:t>Quality</w:t>
                              </w:r>
                              <w:r w:rsidR="004E0820" w:rsidRPr="00AE7171">
                                <w:rPr>
                                  <w:rFonts w:asciiTheme="minorHAnsi" w:hAnsiTheme="minorHAnsi" w:cstheme="minorHAnsi"/>
                                  <w:szCs w:val="24"/>
                                </w:rPr>
                                <w:t xml:space="preserve"> </w:t>
                              </w:r>
                              <w:r w:rsidR="004E0820" w:rsidRPr="00AE7171">
                                <w:rPr>
                                  <w:rFonts w:asciiTheme="minorHAnsi" w:hAnsiTheme="minorHAnsi" w:cstheme="minorHAnsi"/>
                                  <w:szCs w:val="24"/>
                                  <w:highlight w:val="black"/>
                                </w:rPr>
                                <w:t>Assurance Processes are</w:t>
                              </w:r>
                              <w:r w:rsidR="007C6615" w:rsidRPr="00AE7171">
                                <w:rPr>
                                  <w:rFonts w:asciiTheme="minorHAnsi" w:hAnsiTheme="minorHAnsi" w:cstheme="minorHAnsi"/>
                                  <w:szCs w:val="24"/>
                                  <w:highlight w:val="blac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581150" y="2"/>
                            <a:ext cx="4438651" cy="550624"/>
                          </a:xfrm>
                          <a:prstGeom prst="rect">
                            <a:avLst/>
                          </a:prstGeom>
                          <a:solidFill>
                            <a:schemeClr val="lt1"/>
                          </a:solidFill>
                          <a:ln w="6350">
                            <a:solidFill>
                              <a:prstClr val="black"/>
                            </a:solidFill>
                          </a:ln>
                        </wps:spPr>
                        <wps:txbx>
                          <w:txbxContent>
                            <w:p w14:paraId="3634D96E" w14:textId="60ED532E" w:rsidR="004E0820" w:rsidRPr="007C6615" w:rsidRDefault="004E0820" w:rsidP="00FC36C6">
                              <w:pPr>
                                <w:contextualSpacing/>
                                <w:rPr>
                                  <w:b/>
                                  <w:bCs/>
                                  <w:sz w:val="20"/>
                                  <w:szCs w:val="20"/>
                                </w:rPr>
                              </w:pPr>
                              <w:r w:rsidRPr="007C6615">
                                <w:rPr>
                                  <w:b/>
                                  <w:bCs/>
                                  <w:sz w:val="20"/>
                                  <w:szCs w:val="20"/>
                                </w:rPr>
                                <w:t>Evidence-based</w:t>
                              </w:r>
                              <w:r w:rsidRPr="007C6615">
                                <w:rPr>
                                  <w:sz w:val="20"/>
                                  <w:szCs w:val="20"/>
                                </w:rPr>
                                <w:t xml:space="preserve"> </w:t>
                              </w:r>
                              <w:r w:rsidRPr="007C6615">
                                <w:rPr>
                                  <w:bCs/>
                                  <w:sz w:val="20"/>
                                  <w:szCs w:val="20"/>
                                </w:rPr>
                                <w:t>to enable informed judgements to be made on academic quality and standards</w:t>
                              </w:r>
                              <w:r w:rsidR="007C6615">
                                <w:rPr>
                                  <w:bCs/>
                                  <w:sz w:val="20"/>
                                  <w:szCs w:val="20"/>
                                </w:rPr>
                                <w:t>.</w:t>
                              </w:r>
                            </w:p>
                            <w:p w14:paraId="317E7676" w14:textId="77777777" w:rsidR="004E0820" w:rsidRPr="00D83FAF" w:rsidRDefault="004E082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81150" y="647575"/>
                            <a:ext cx="4438650" cy="523598"/>
                          </a:xfrm>
                          <a:prstGeom prst="rect">
                            <a:avLst/>
                          </a:prstGeom>
                          <a:solidFill>
                            <a:sysClr val="window" lastClr="FFFFFF"/>
                          </a:solidFill>
                          <a:ln w="6350">
                            <a:solidFill>
                              <a:prstClr val="black"/>
                            </a:solidFill>
                          </a:ln>
                        </wps:spPr>
                        <wps:txbx>
                          <w:txbxContent>
                            <w:p w14:paraId="3E447923" w14:textId="0B9CFF54" w:rsidR="004E0820" w:rsidRPr="007C6615" w:rsidRDefault="004E0820" w:rsidP="00FC36C6">
                              <w:pPr>
                                <w:rPr>
                                  <w:sz w:val="20"/>
                                  <w:szCs w:val="20"/>
                                </w:rPr>
                              </w:pPr>
                              <w:r w:rsidRPr="007C6615">
                                <w:rPr>
                                  <w:b/>
                                  <w:bCs/>
                                  <w:sz w:val="20"/>
                                  <w:szCs w:val="20"/>
                                </w:rPr>
                                <w:t>Risk-focussed</w:t>
                              </w:r>
                              <w:r w:rsidRPr="007C6615">
                                <w:rPr>
                                  <w:sz w:val="20"/>
                                  <w:szCs w:val="20"/>
                                </w:rPr>
                                <w:t xml:space="preserve"> to enable the identification of potential problems so that appropriate action may be taken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593850" y="1301499"/>
                            <a:ext cx="4438650" cy="542658"/>
                          </a:xfrm>
                          <a:prstGeom prst="rect">
                            <a:avLst/>
                          </a:prstGeom>
                          <a:solidFill>
                            <a:sysClr val="window" lastClr="FFFFFF"/>
                          </a:solidFill>
                          <a:ln w="6350">
                            <a:solidFill>
                              <a:prstClr val="black"/>
                            </a:solidFill>
                          </a:ln>
                        </wps:spPr>
                        <wps:txbx>
                          <w:txbxContent>
                            <w:p w14:paraId="4149B762" w14:textId="20FBF769" w:rsidR="004E0820" w:rsidRPr="007C6615" w:rsidRDefault="004E0820" w:rsidP="00FC36C6">
                              <w:pPr>
                                <w:rPr>
                                  <w:sz w:val="20"/>
                                  <w:szCs w:val="20"/>
                                </w:rPr>
                              </w:pPr>
                              <w:r w:rsidRPr="007C6615">
                                <w:rPr>
                                  <w:b/>
                                  <w:bCs/>
                                  <w:sz w:val="20"/>
                                  <w:szCs w:val="20"/>
                                </w:rPr>
                                <w:t>Enhancement-focussed</w:t>
                              </w:r>
                              <w:r w:rsidRPr="007C6615">
                                <w:rPr>
                                  <w:sz w:val="20"/>
                                  <w:szCs w:val="20"/>
                                </w:rPr>
                                <w:t xml:space="preserve"> to enable the systematic identification of potential good practice for wider dissemination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606550" y="1955049"/>
                            <a:ext cx="4438650" cy="553351"/>
                          </a:xfrm>
                          <a:prstGeom prst="rect">
                            <a:avLst/>
                          </a:prstGeom>
                          <a:solidFill>
                            <a:sysClr val="window" lastClr="FFFFFF"/>
                          </a:solidFill>
                          <a:ln w="6350">
                            <a:solidFill>
                              <a:prstClr val="black"/>
                            </a:solidFill>
                          </a:ln>
                        </wps:spPr>
                        <wps:txbx>
                          <w:txbxContent>
                            <w:p w14:paraId="4B604158" w14:textId="6156A51B" w:rsidR="004E0820" w:rsidRPr="007C6615" w:rsidRDefault="004E0820" w:rsidP="00FC36C6">
                              <w:pPr>
                                <w:rPr>
                                  <w:sz w:val="20"/>
                                  <w:szCs w:val="20"/>
                                </w:rPr>
                              </w:pPr>
                              <w:r w:rsidRPr="007C6615">
                                <w:rPr>
                                  <w:b/>
                                  <w:bCs/>
                                  <w:sz w:val="20"/>
                                  <w:szCs w:val="20"/>
                                </w:rPr>
                                <w:t>Independent</w:t>
                              </w:r>
                              <w:r w:rsidRPr="007C6615">
                                <w:rPr>
                                  <w:sz w:val="20"/>
                                  <w:szCs w:val="20"/>
                                </w:rPr>
                                <w:t xml:space="preserve"> of executive structures and capable of sending uncomfortable messages in any direction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606550" y="2602504"/>
                            <a:ext cx="4438650" cy="465262"/>
                          </a:xfrm>
                          <a:prstGeom prst="rect">
                            <a:avLst/>
                          </a:prstGeom>
                          <a:solidFill>
                            <a:sysClr val="window" lastClr="FFFFFF"/>
                          </a:solidFill>
                          <a:ln w="6350">
                            <a:solidFill>
                              <a:prstClr val="black"/>
                            </a:solidFill>
                          </a:ln>
                        </wps:spPr>
                        <wps:txbx>
                          <w:txbxContent>
                            <w:p w14:paraId="3D33A771" w14:textId="7D4F2BF7" w:rsidR="004E0820" w:rsidRPr="007C6615" w:rsidRDefault="004E0820" w:rsidP="00FC36C6">
                              <w:pPr>
                                <w:rPr>
                                  <w:sz w:val="20"/>
                                  <w:szCs w:val="20"/>
                                </w:rPr>
                              </w:pPr>
                              <w:r w:rsidRPr="007C6615">
                                <w:rPr>
                                  <w:b/>
                                  <w:bCs/>
                                  <w:sz w:val="20"/>
                                  <w:szCs w:val="20"/>
                                </w:rPr>
                                <w:t>Proportionate</w:t>
                              </w:r>
                              <w:r w:rsidRPr="007C6615">
                                <w:rPr>
                                  <w:sz w:val="20"/>
                                  <w:szCs w:val="20"/>
                                </w:rPr>
                                <w:t xml:space="preserve"> whilst ensuring due rigour</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606550" y="3910849"/>
                            <a:ext cx="4438650" cy="555327"/>
                          </a:xfrm>
                          <a:prstGeom prst="rect">
                            <a:avLst/>
                          </a:prstGeom>
                          <a:solidFill>
                            <a:sysClr val="window" lastClr="FFFFFF"/>
                          </a:solidFill>
                          <a:ln w="6350">
                            <a:solidFill>
                              <a:prstClr val="black"/>
                            </a:solidFill>
                          </a:ln>
                        </wps:spPr>
                        <wps:txbx>
                          <w:txbxContent>
                            <w:p w14:paraId="64D15A2B" w14:textId="726FEC5A" w:rsidR="004E0820" w:rsidRPr="007C6615" w:rsidRDefault="004E0820" w:rsidP="00FC36C6">
                              <w:pPr>
                                <w:rPr>
                                  <w:sz w:val="20"/>
                                  <w:szCs w:val="20"/>
                                </w:rPr>
                              </w:pPr>
                              <w:r w:rsidRPr="007C6615">
                                <w:rPr>
                                  <w:b/>
                                  <w:bCs/>
                                  <w:sz w:val="20"/>
                                  <w:szCs w:val="20"/>
                                </w:rPr>
                                <w:t>Auditable</w:t>
                              </w:r>
                              <w:r w:rsidRPr="007C6615">
                                <w:rPr>
                                  <w:sz w:val="20"/>
                                  <w:szCs w:val="20"/>
                                </w:rPr>
                                <w:t xml:space="preserve"> with outputs documented and communicated to relevant stakeholders and progress made against any actions reported</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06550" y="3271393"/>
                            <a:ext cx="4438650" cy="443138"/>
                          </a:xfrm>
                          <a:prstGeom prst="rect">
                            <a:avLst/>
                          </a:prstGeom>
                          <a:solidFill>
                            <a:sysClr val="window" lastClr="FFFFFF"/>
                          </a:solidFill>
                          <a:ln w="6350">
                            <a:solidFill>
                              <a:prstClr val="black"/>
                            </a:solidFill>
                          </a:ln>
                        </wps:spPr>
                        <wps:txbx>
                          <w:txbxContent>
                            <w:p w14:paraId="479E0F9D" w14:textId="5408D8BF" w:rsidR="004E0820" w:rsidRPr="007C6615" w:rsidRDefault="004E0820" w:rsidP="00FC36C6">
                              <w:pPr>
                                <w:rPr>
                                  <w:sz w:val="20"/>
                                  <w:szCs w:val="20"/>
                                </w:rPr>
                              </w:pPr>
                              <w:r w:rsidRPr="007C6615">
                                <w:rPr>
                                  <w:b/>
                                  <w:bCs/>
                                  <w:sz w:val="20"/>
                                  <w:szCs w:val="20"/>
                                </w:rPr>
                                <w:t>Externally informed</w:t>
                              </w:r>
                              <w:r w:rsidRPr="007C6615">
                                <w:rPr>
                                  <w:sz w:val="20"/>
                                  <w:szCs w:val="20"/>
                                </w:rPr>
                                <w:t xml:space="preserve"> using external academic experts, including subject experts</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DC2CD" id="Group 12" o:spid="_x0000_s1030" alt="&quot;&quot;" style="position:absolute;left:0;text-align:left;margin-left:-.75pt;margin-top:4.35pt;width:483.5pt;height:251.95pt;z-index:251641857;mso-position-horizontal-relative:margin;mso-width-relative:margin;mso-height-relative:margin" coordorigin="6756" coordsize="53695,4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31" type="#_x0000_t120" style="position:absolute;left:6756;top:13051;width:11363;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" fillcolor="#31849b [2408]" strokecolor="#243f60 [1604]" strokeweight="1pt">
                  <v:stroke joinstyle="miter"/>
                  <v:textbox>
                    <w:txbxContent>
                      <w:p w14:paraId="0C4A5AA3" w14:textId="592DC993" w:rsidR="004E0820" w:rsidRPr="00AE7171" w:rsidRDefault="00AE7171" w:rsidP="00616275">
                        <w:pPr>
                          <w:jc w:val="center"/>
                          <w:rPr>
                            <w:rFonts w:asciiTheme="minorHAnsi" w:hAnsiTheme="minorHAnsi" w:cstheme="minorHAnsi"/>
                            <w:szCs w:val="24"/>
                          </w:rPr>
                        </w:pPr>
                        <w:r w:rsidRPr="00AE7171">
                          <w:rPr>
                            <w:rFonts w:asciiTheme="minorHAnsi" w:hAnsiTheme="minorHAnsi" w:cstheme="minorHAnsi"/>
                            <w:szCs w:val="24"/>
                            <w:highlight w:val="black"/>
                          </w:rPr>
                          <w:t>Quality</w:t>
                        </w:r>
                        <w:r w:rsidR="004E0820" w:rsidRPr="00AE7171">
                          <w:rPr>
                            <w:rFonts w:asciiTheme="minorHAnsi" w:hAnsiTheme="minorHAnsi" w:cstheme="minorHAnsi"/>
                            <w:szCs w:val="24"/>
                          </w:rPr>
                          <w:t xml:space="preserve"> </w:t>
                        </w:r>
                        <w:r w:rsidR="004E0820" w:rsidRPr="00AE7171">
                          <w:rPr>
                            <w:rFonts w:asciiTheme="minorHAnsi" w:hAnsiTheme="minorHAnsi" w:cstheme="minorHAnsi"/>
                            <w:szCs w:val="24"/>
                            <w:highlight w:val="black"/>
                          </w:rPr>
                          <w:t>Assurance Processes are</w:t>
                        </w:r>
                        <w:r w:rsidR="007C6615" w:rsidRPr="00AE7171">
                          <w:rPr>
                            <w:rFonts w:asciiTheme="minorHAnsi" w:hAnsiTheme="minorHAnsi" w:cstheme="minorHAnsi"/>
                            <w:szCs w:val="24"/>
                            <w:highlight w:val="black"/>
                          </w:rPr>
                          <w:t>:</w:t>
                        </w:r>
                      </w:p>
                    </w:txbxContent>
                  </v:textbox>
                </v:shape>
                <v:shape id="Text Box 2" o:spid="_x0000_s1032" type="#_x0000_t202" style="position:absolute;left:15811;width:44387;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634D96E" w14:textId="60ED532E" w:rsidR="004E0820" w:rsidRPr="007C6615" w:rsidRDefault="004E0820" w:rsidP="00FC36C6">
                        <w:pPr>
                          <w:contextualSpacing/>
                          <w:rPr>
                            <w:b/>
                            <w:bCs/>
                            <w:sz w:val="20"/>
                            <w:szCs w:val="20"/>
                          </w:rPr>
                        </w:pPr>
                        <w:r w:rsidRPr="007C6615">
                          <w:rPr>
                            <w:b/>
                            <w:bCs/>
                            <w:sz w:val="20"/>
                            <w:szCs w:val="20"/>
                          </w:rPr>
                          <w:t>Evidence-based</w:t>
                        </w:r>
                        <w:r w:rsidRPr="007C6615">
                          <w:rPr>
                            <w:sz w:val="20"/>
                            <w:szCs w:val="20"/>
                          </w:rPr>
                          <w:t xml:space="preserve"> </w:t>
                        </w:r>
                        <w:r w:rsidRPr="007C6615">
                          <w:rPr>
                            <w:bCs/>
                            <w:sz w:val="20"/>
                            <w:szCs w:val="20"/>
                          </w:rPr>
                          <w:t>to enable informed judgements to be made on academic quality and standards</w:t>
                        </w:r>
                        <w:r w:rsidR="007C6615">
                          <w:rPr>
                            <w:bCs/>
                            <w:sz w:val="20"/>
                            <w:szCs w:val="20"/>
                          </w:rPr>
                          <w:t>.</w:t>
                        </w:r>
                      </w:p>
                      <w:p w14:paraId="317E7676" w14:textId="77777777" w:rsidR="004E0820" w:rsidRPr="00D83FAF" w:rsidRDefault="004E0820">
                        <w:pPr>
                          <w:rPr>
                            <w:sz w:val="20"/>
                            <w:szCs w:val="20"/>
                          </w:rPr>
                        </w:pPr>
                      </w:p>
                    </w:txbxContent>
                  </v:textbox>
                </v:shape>
                <v:shape id="Text Box 4" o:spid="_x0000_s1033" type="#_x0000_t202" style="position:absolute;left:15811;top:6475;width:44387;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3E447923" w14:textId="0B9CFF54" w:rsidR="004E0820" w:rsidRPr="007C6615" w:rsidRDefault="004E0820" w:rsidP="00FC36C6">
                        <w:pPr>
                          <w:rPr>
                            <w:sz w:val="20"/>
                            <w:szCs w:val="20"/>
                          </w:rPr>
                        </w:pPr>
                        <w:r w:rsidRPr="007C6615">
                          <w:rPr>
                            <w:b/>
                            <w:bCs/>
                            <w:sz w:val="20"/>
                            <w:szCs w:val="20"/>
                          </w:rPr>
                          <w:t>Risk-focussed</w:t>
                        </w:r>
                        <w:r w:rsidRPr="007C6615">
                          <w:rPr>
                            <w:sz w:val="20"/>
                            <w:szCs w:val="20"/>
                          </w:rPr>
                          <w:t xml:space="preserve"> to enable the identification of potential problems so that appropriate action may be taken</w:t>
                        </w:r>
                        <w:r w:rsidR="007C6615">
                          <w:rPr>
                            <w:sz w:val="20"/>
                            <w:szCs w:val="20"/>
                          </w:rPr>
                          <w:t>.</w:t>
                        </w:r>
                      </w:p>
                    </w:txbxContent>
                  </v:textbox>
                </v:shape>
                <v:shape id="Text Box 6" o:spid="_x0000_s1034" type="#_x0000_t202" style="position:absolute;left:15938;top:13014;width:44387;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4149B762" w14:textId="20FBF769" w:rsidR="004E0820" w:rsidRPr="007C6615" w:rsidRDefault="004E0820" w:rsidP="00FC36C6">
                        <w:pPr>
                          <w:rPr>
                            <w:sz w:val="20"/>
                            <w:szCs w:val="20"/>
                          </w:rPr>
                        </w:pPr>
                        <w:r w:rsidRPr="007C6615">
                          <w:rPr>
                            <w:b/>
                            <w:bCs/>
                            <w:sz w:val="20"/>
                            <w:szCs w:val="20"/>
                          </w:rPr>
                          <w:t>Enhancement-focussed</w:t>
                        </w:r>
                        <w:r w:rsidRPr="007C6615">
                          <w:rPr>
                            <w:sz w:val="20"/>
                            <w:szCs w:val="20"/>
                          </w:rPr>
                          <w:t xml:space="preserve"> to enable the systematic identification of potential good practice for wider dissemination</w:t>
                        </w:r>
                        <w:r w:rsidR="007C6615">
                          <w:rPr>
                            <w:sz w:val="20"/>
                            <w:szCs w:val="20"/>
                          </w:rPr>
                          <w:t>.</w:t>
                        </w:r>
                      </w:p>
                    </w:txbxContent>
                  </v:textbox>
                </v:shape>
                <v:shape id="Text Box 8" o:spid="_x0000_s1035" type="#_x0000_t202" style="position:absolute;left:16065;top:19550;width:44387;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B604158" w14:textId="6156A51B" w:rsidR="004E0820" w:rsidRPr="007C6615" w:rsidRDefault="004E0820" w:rsidP="00FC36C6">
                        <w:pPr>
                          <w:rPr>
                            <w:sz w:val="20"/>
                            <w:szCs w:val="20"/>
                          </w:rPr>
                        </w:pPr>
                        <w:r w:rsidRPr="007C6615">
                          <w:rPr>
                            <w:b/>
                            <w:bCs/>
                            <w:sz w:val="20"/>
                            <w:szCs w:val="20"/>
                          </w:rPr>
                          <w:t>Independent</w:t>
                        </w:r>
                        <w:r w:rsidRPr="007C6615">
                          <w:rPr>
                            <w:sz w:val="20"/>
                            <w:szCs w:val="20"/>
                          </w:rPr>
                          <w:t xml:space="preserve"> of executive structures and capable of sending uncomfortable messages in any direction</w:t>
                        </w:r>
                        <w:r w:rsidR="007C6615">
                          <w:rPr>
                            <w:sz w:val="20"/>
                            <w:szCs w:val="20"/>
                          </w:rPr>
                          <w:t>.</w:t>
                        </w:r>
                      </w:p>
                    </w:txbxContent>
                  </v:textbox>
                </v:shape>
                <v:shape id="Text Box 9" o:spid="_x0000_s1036" type="#_x0000_t202" style="position:absolute;left:16065;top:26025;width:44387;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3D33A771" w14:textId="7D4F2BF7" w:rsidR="004E0820" w:rsidRPr="007C6615" w:rsidRDefault="004E0820" w:rsidP="00FC36C6">
                        <w:pPr>
                          <w:rPr>
                            <w:sz w:val="20"/>
                            <w:szCs w:val="20"/>
                          </w:rPr>
                        </w:pPr>
                        <w:r w:rsidRPr="007C6615">
                          <w:rPr>
                            <w:b/>
                            <w:bCs/>
                            <w:sz w:val="20"/>
                            <w:szCs w:val="20"/>
                          </w:rPr>
                          <w:t>Proportionate</w:t>
                        </w:r>
                        <w:r w:rsidRPr="007C6615">
                          <w:rPr>
                            <w:sz w:val="20"/>
                            <w:szCs w:val="20"/>
                          </w:rPr>
                          <w:t xml:space="preserve"> whilst ensuring due rigour</w:t>
                        </w:r>
                        <w:r w:rsidR="007C6615">
                          <w:rPr>
                            <w:sz w:val="20"/>
                            <w:szCs w:val="20"/>
                          </w:rPr>
                          <w:t>.</w:t>
                        </w:r>
                      </w:p>
                    </w:txbxContent>
                  </v:textbox>
                </v:shape>
                <v:shape id="Text Box 10" o:spid="_x0000_s1037" type="#_x0000_t202" style="position:absolute;left:16065;top:39108;width:44387;height: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64D15A2B" w14:textId="726FEC5A" w:rsidR="004E0820" w:rsidRPr="007C6615" w:rsidRDefault="004E0820" w:rsidP="00FC36C6">
                        <w:pPr>
                          <w:rPr>
                            <w:sz w:val="20"/>
                            <w:szCs w:val="20"/>
                          </w:rPr>
                        </w:pPr>
                        <w:r w:rsidRPr="007C6615">
                          <w:rPr>
                            <w:b/>
                            <w:bCs/>
                            <w:sz w:val="20"/>
                            <w:szCs w:val="20"/>
                          </w:rPr>
                          <w:t>Auditable</w:t>
                        </w:r>
                        <w:r w:rsidRPr="007C6615">
                          <w:rPr>
                            <w:sz w:val="20"/>
                            <w:szCs w:val="20"/>
                          </w:rPr>
                          <w:t xml:space="preserve"> with outputs documented and communicated to relevant stakeholders and progress made against any actions reported</w:t>
                        </w:r>
                        <w:r w:rsidR="007C6615">
                          <w:rPr>
                            <w:sz w:val="20"/>
                            <w:szCs w:val="20"/>
                          </w:rPr>
                          <w:t>.</w:t>
                        </w:r>
                      </w:p>
                    </w:txbxContent>
                  </v:textbox>
                </v:shape>
                <v:shape id="Text Box 11" o:spid="_x0000_s1038" type="#_x0000_t202" style="position:absolute;left:16065;top:32713;width:44387;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79E0F9D" w14:textId="5408D8BF" w:rsidR="004E0820" w:rsidRPr="007C6615" w:rsidRDefault="004E0820" w:rsidP="00FC36C6">
                        <w:pPr>
                          <w:rPr>
                            <w:sz w:val="20"/>
                            <w:szCs w:val="20"/>
                          </w:rPr>
                        </w:pPr>
                        <w:r w:rsidRPr="007C6615">
                          <w:rPr>
                            <w:b/>
                            <w:bCs/>
                            <w:sz w:val="20"/>
                            <w:szCs w:val="20"/>
                          </w:rPr>
                          <w:t>Externally informed</w:t>
                        </w:r>
                        <w:r w:rsidRPr="007C6615">
                          <w:rPr>
                            <w:sz w:val="20"/>
                            <w:szCs w:val="20"/>
                          </w:rPr>
                          <w:t xml:space="preserve"> using external academic experts, including subject experts</w:t>
                        </w:r>
                        <w:r w:rsidR="007C6615">
                          <w:rPr>
                            <w:sz w:val="20"/>
                            <w:szCs w:val="20"/>
                          </w:rPr>
                          <w:t>.</w:t>
                        </w:r>
                      </w:p>
                    </w:txbxContent>
                  </v:textbox>
                </v:shape>
                <w10:wrap anchorx="margin"/>
              </v:group>
            </w:pict>
          </mc:Fallback>
        </mc:AlternateContent>
      </w:r>
    </w:p>
    <w:p w14:paraId="393B657C" w14:textId="52E93E6B" w:rsidR="00616275" w:rsidRDefault="00616275" w:rsidP="00C24CA0">
      <w:pPr>
        <w:contextualSpacing/>
        <w:jc w:val="both"/>
      </w:pPr>
    </w:p>
    <w:p w14:paraId="0F671450" w14:textId="1467EA88" w:rsidR="0040639F" w:rsidRDefault="0040639F" w:rsidP="00C24CA0">
      <w:pPr>
        <w:contextualSpacing/>
        <w:jc w:val="both"/>
      </w:pPr>
    </w:p>
    <w:p w14:paraId="39E96F72" w14:textId="1409F414" w:rsidR="0040639F" w:rsidRDefault="0040639F" w:rsidP="00C24CA0">
      <w:pPr>
        <w:contextualSpacing/>
        <w:jc w:val="both"/>
      </w:pPr>
    </w:p>
    <w:p w14:paraId="04B1AB84" w14:textId="1484F355" w:rsidR="0040639F" w:rsidRDefault="0040639F" w:rsidP="00C24CA0">
      <w:pPr>
        <w:contextualSpacing/>
        <w:jc w:val="both"/>
      </w:pPr>
    </w:p>
    <w:p w14:paraId="361B7475" w14:textId="260E5D8D" w:rsidR="0040639F" w:rsidRDefault="0040639F" w:rsidP="00C24CA0">
      <w:pPr>
        <w:contextualSpacing/>
        <w:jc w:val="both"/>
      </w:pPr>
    </w:p>
    <w:p w14:paraId="3FC2BF1B" w14:textId="21DB3988" w:rsidR="0040639F" w:rsidRDefault="0040639F" w:rsidP="00C24CA0">
      <w:pPr>
        <w:contextualSpacing/>
        <w:jc w:val="both"/>
      </w:pPr>
    </w:p>
    <w:p w14:paraId="46D0A0E7" w14:textId="3AF2EEE6" w:rsidR="0040639F" w:rsidRDefault="0040639F" w:rsidP="00C24CA0">
      <w:pPr>
        <w:contextualSpacing/>
        <w:jc w:val="both"/>
      </w:pPr>
    </w:p>
    <w:p w14:paraId="08DA09D0" w14:textId="543A0FA9" w:rsidR="0040639F" w:rsidRDefault="0040639F" w:rsidP="00C24CA0">
      <w:pPr>
        <w:contextualSpacing/>
        <w:jc w:val="both"/>
      </w:pPr>
    </w:p>
    <w:p w14:paraId="217273D9" w14:textId="62619DDE" w:rsidR="0040639F" w:rsidRDefault="0040639F" w:rsidP="00C24CA0">
      <w:pPr>
        <w:contextualSpacing/>
        <w:jc w:val="both"/>
      </w:pPr>
    </w:p>
    <w:p w14:paraId="42650B2B" w14:textId="56A1310D" w:rsidR="0040639F" w:rsidRDefault="0040639F" w:rsidP="00C24CA0">
      <w:pPr>
        <w:contextualSpacing/>
        <w:jc w:val="both"/>
      </w:pPr>
    </w:p>
    <w:p w14:paraId="3F18F2A2" w14:textId="4A7787C6" w:rsidR="0040639F" w:rsidRDefault="0040639F" w:rsidP="00C24CA0">
      <w:pPr>
        <w:contextualSpacing/>
        <w:jc w:val="both"/>
      </w:pPr>
    </w:p>
    <w:p w14:paraId="7C5968D7" w14:textId="3C0B388C" w:rsidR="0040639F" w:rsidRDefault="0040639F" w:rsidP="00C24CA0">
      <w:pPr>
        <w:contextualSpacing/>
        <w:jc w:val="both"/>
      </w:pPr>
    </w:p>
    <w:p w14:paraId="6E142235" w14:textId="7C1AA086" w:rsidR="004B4F02" w:rsidRDefault="004B4F02" w:rsidP="00C24CA0">
      <w:pPr>
        <w:contextualSpacing/>
        <w:jc w:val="both"/>
      </w:pPr>
    </w:p>
    <w:p w14:paraId="3F757A7C" w14:textId="51AA756B" w:rsidR="00FC36C6" w:rsidRDefault="00FC36C6" w:rsidP="00C24CA0">
      <w:pPr>
        <w:contextualSpacing/>
        <w:jc w:val="both"/>
      </w:pPr>
    </w:p>
    <w:p w14:paraId="3405F898" w14:textId="4C7DD362" w:rsidR="00FC36C6" w:rsidRDefault="00FC36C6" w:rsidP="00C24CA0">
      <w:pPr>
        <w:contextualSpacing/>
        <w:jc w:val="both"/>
      </w:pPr>
    </w:p>
    <w:p w14:paraId="09D9642F" w14:textId="708814BC" w:rsidR="00FC36C6" w:rsidRDefault="00FC36C6" w:rsidP="00C24CA0">
      <w:pPr>
        <w:contextualSpacing/>
        <w:jc w:val="both"/>
      </w:pPr>
    </w:p>
    <w:p w14:paraId="1F3DE2FE" w14:textId="3113DBEE" w:rsidR="000C3B1B" w:rsidRDefault="000C3B1B" w:rsidP="00AE2E01">
      <w:pPr>
        <w:contextualSpacing/>
        <w:jc w:val="both"/>
      </w:pPr>
    </w:p>
    <w:p w14:paraId="479F2D26" w14:textId="77777777" w:rsidR="001366C9" w:rsidRDefault="001366C9" w:rsidP="00D602EF">
      <w:pPr>
        <w:spacing w:after="240"/>
        <w:contextualSpacing/>
        <w:jc w:val="both"/>
      </w:pPr>
    </w:p>
    <w:p w14:paraId="5DFC338E" w14:textId="69F4A786" w:rsidR="00D602EF" w:rsidRDefault="00D602EF" w:rsidP="00D602EF">
      <w:pPr>
        <w:spacing w:after="240"/>
        <w:contextualSpacing/>
        <w:jc w:val="both"/>
      </w:pPr>
      <w:r>
        <w:t xml:space="preserve">The QA processes currently in operation are shown in Figure </w:t>
      </w:r>
      <w:r w:rsidR="007C6615">
        <w:t>3</w:t>
      </w:r>
      <w:r>
        <w:t>. More details on each of these processes, including the supporting evidence used to inform them, can be found in the forthcoming chapters, 2 – 7.</w:t>
      </w:r>
    </w:p>
    <w:p w14:paraId="12841EB8" w14:textId="77777777" w:rsidR="00D602EF" w:rsidRDefault="00D602EF" w:rsidP="00D602EF">
      <w:pPr>
        <w:contextualSpacing/>
        <w:jc w:val="both"/>
      </w:pPr>
    </w:p>
    <w:p w14:paraId="17453267" w14:textId="37EE3F4F" w:rsidR="00F42344" w:rsidRPr="003E59BF" w:rsidRDefault="007F4253" w:rsidP="003E59BF">
      <w:pPr>
        <w:rPr>
          <w:b/>
          <w:bCs/>
          <w:sz w:val="20"/>
          <w:szCs w:val="20"/>
        </w:rPr>
      </w:pPr>
      <w:bookmarkStart w:id="16" w:name="1.3___Teaching_Excellence_and_Student_Ou"/>
      <w:bookmarkEnd w:id="16"/>
      <w:r>
        <w:rPr>
          <w:b/>
          <w:bCs/>
          <w:noProof/>
          <w:szCs w:val="24"/>
        </w:rPr>
        <mc:AlternateContent>
          <mc:Choice Requires="wpg">
            <w:drawing>
              <wp:inline distT="0" distB="0" distL="0" distR="0" wp14:anchorId="40D13733" wp14:editId="0E434EA5">
                <wp:extent cx="5441950" cy="3448050"/>
                <wp:effectExtent l="0" t="38100" r="25400" b="19050"/>
                <wp:docPr id="203" name="Group 203" descr="A flow chart describing the Periodic Review Process from Academic Planning, Validation, Annual Monitoring, External Examiners &amp; PSRBs, Programme Modification, Student Engagement Mechanisms, Recruitment, Progression &amp; Retention, Awards, Student Surveys and Graduate Outcomes."/>
                <wp:cNvGraphicFramePr/>
                <a:graphic xmlns:a="http://schemas.openxmlformats.org/drawingml/2006/main">
                  <a:graphicData uri="http://schemas.microsoft.com/office/word/2010/wordprocessingGroup">
                    <wpg:wgp>
                      <wpg:cNvGrpSpPr/>
                      <wpg:grpSpPr>
                        <a:xfrm>
                          <a:off x="0" y="0"/>
                          <a:ext cx="5441950" cy="3448050"/>
                          <a:chOff x="0" y="0"/>
                          <a:chExt cx="5892800" cy="3098800"/>
                        </a:xfrm>
                      </wpg:grpSpPr>
                      <wps:wsp>
                        <wps:cNvPr id="27" name="Text Box 27"/>
                        <wps:cNvSpPr txBox="1"/>
                        <wps:spPr>
                          <a:xfrm>
                            <a:off x="2051050" y="2197100"/>
                            <a:ext cx="1797050" cy="298450"/>
                          </a:xfrm>
                          <a:prstGeom prst="rect">
                            <a:avLst/>
                          </a:prstGeom>
                          <a:solidFill>
                            <a:sysClr val="window" lastClr="FFFFFF"/>
                          </a:solidFill>
                          <a:ln w="6350">
                            <a:solidFill>
                              <a:sysClr val="window" lastClr="FFFFFF"/>
                            </a:solidFill>
                          </a:ln>
                        </wps:spPr>
                        <wps:txbx>
                          <w:txbxContent>
                            <w:p w14:paraId="6D03634B" w14:textId="77777777" w:rsidR="004E0820" w:rsidRPr="001A0FD9" w:rsidRDefault="004E0820" w:rsidP="00D602EF">
                              <w:pPr>
                                <w:jc w:val="center"/>
                                <w:rPr>
                                  <w:color w:val="002060"/>
                                </w:rPr>
                              </w:pPr>
                              <w:r>
                                <w:rPr>
                                  <w:color w:val="002060"/>
                                </w:rPr>
                                <w:t>Evidence (</w:t>
                              </w:r>
                              <w:r w:rsidRPr="001A0FD9">
                                <w:rPr>
                                  <w:color w:val="002060"/>
                                </w:rPr>
                                <w:t>Data</w:t>
                              </w:r>
                              <w:r>
                                <w:rPr>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2" name="Group 202"/>
                        <wpg:cNvGrpSpPr/>
                        <wpg:grpSpPr>
                          <a:xfrm>
                            <a:off x="552450" y="2456784"/>
                            <a:ext cx="4781550" cy="642016"/>
                            <a:chOff x="0" y="-83216"/>
                            <a:chExt cx="4781550" cy="642016"/>
                          </a:xfrm>
                        </wpg:grpSpPr>
                        <wps:wsp>
                          <wps:cNvPr id="28" name="Rectangle: Rounded Corners 28"/>
                          <wps:cNvSpPr/>
                          <wps:spPr>
                            <a:xfrm>
                              <a:off x="0" y="-83216"/>
                              <a:ext cx="914399" cy="64201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360520BE" w14:textId="77777777" w:rsidR="004E0820" w:rsidRPr="00DB2C49" w:rsidRDefault="004E0820" w:rsidP="00D602EF">
                                <w:pPr>
                                  <w:jc w:val="center"/>
                                  <w:rPr>
                                    <w:sz w:val="18"/>
                                    <w:szCs w:val="18"/>
                                  </w:rPr>
                                </w:pPr>
                                <w:r w:rsidRPr="00DB2C49">
                                  <w:rPr>
                                    <w:sz w:val="18"/>
                                    <w:szCs w:val="18"/>
                                  </w:rP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965200" y="-83216"/>
                              <a:ext cx="914399" cy="64201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DC5F375" w14:textId="77777777" w:rsidR="004E0820" w:rsidRPr="00DB2C49" w:rsidRDefault="004E0820" w:rsidP="00D602EF">
                                <w:pPr>
                                  <w:jc w:val="center"/>
                                  <w:rPr>
                                    <w:sz w:val="18"/>
                                    <w:szCs w:val="18"/>
                                  </w:rPr>
                                </w:pPr>
                                <w:r w:rsidRPr="00DB2C49">
                                  <w:rPr>
                                    <w:sz w:val="18"/>
                                    <w:szCs w:val="18"/>
                                  </w:rPr>
                                  <w:t>Progression &amp; Retention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901950" y="-83216"/>
                              <a:ext cx="914399" cy="635667"/>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2E19D8EC" w14:textId="77777777" w:rsidR="004E0820" w:rsidRPr="00DB2C49" w:rsidRDefault="004E0820" w:rsidP="00D602EF">
                                <w:pPr>
                                  <w:jc w:val="center"/>
                                  <w:rPr>
                                    <w:sz w:val="18"/>
                                    <w:szCs w:val="18"/>
                                  </w:rPr>
                                </w:pPr>
                                <w:r w:rsidRPr="00DB2C49">
                                  <w:rPr>
                                    <w:sz w:val="18"/>
                                    <w:szCs w:val="18"/>
                                  </w:rPr>
                                  <w:t>Student Surveys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1936750" y="-66096"/>
                              <a:ext cx="914399" cy="62489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30A3B4AB" w14:textId="77777777" w:rsidR="004E0820" w:rsidRPr="00DB2C49" w:rsidRDefault="004E0820" w:rsidP="00D602EF">
                                <w:pPr>
                                  <w:jc w:val="center"/>
                                  <w:rPr>
                                    <w:sz w:val="18"/>
                                    <w:szCs w:val="18"/>
                                  </w:rPr>
                                </w:pPr>
                                <w:r w:rsidRPr="00DB2C49">
                                  <w:rPr>
                                    <w:sz w:val="18"/>
                                    <w:szCs w:val="18"/>
                                  </w:rPr>
                                  <w:t>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a:off x="3867151" y="-83216"/>
                              <a:ext cx="914399" cy="635667"/>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1356E348" w14:textId="77777777" w:rsidR="004E0820" w:rsidRPr="00DB2C49" w:rsidRDefault="004E0820" w:rsidP="00D602EF">
                                <w:pPr>
                                  <w:jc w:val="center"/>
                                  <w:rPr>
                                    <w:sz w:val="18"/>
                                    <w:szCs w:val="18"/>
                                  </w:rPr>
                                </w:pPr>
                                <w:r w:rsidRPr="00DB2C49">
                                  <w:rPr>
                                    <w:sz w:val="18"/>
                                    <w:szCs w:val="18"/>
                                  </w:rPr>
                                  <w:t>Graduate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wps:cNvSpPr txBox="1"/>
                        <wps:spPr>
                          <a:xfrm>
                            <a:off x="1123950" y="0"/>
                            <a:ext cx="3663950" cy="742950"/>
                          </a:xfrm>
                          <a:prstGeom prst="rect">
                            <a:avLst/>
                          </a:prstGeom>
                          <a:gradFill rotWithShape="1">
                            <a:gsLst>
                              <a:gs pos="0">
                                <a:srgbClr val="4F81BD">
                                  <a:satMod val="103000"/>
                                  <a:lumMod val="102000"/>
                                  <a:tint val="94000"/>
                                </a:srgbClr>
                              </a:gs>
                              <a:gs pos="50000">
                                <a:srgbClr val="4F81BD">
                                  <a:satMod val="110000"/>
                                  <a:lumMod val="100000"/>
                                  <a:shade val="100000"/>
                                </a:srgbClr>
                              </a:gs>
                              <a:gs pos="100000">
                                <a:srgbClr val="4F81BD">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4F8CF43" w14:textId="5809AC95" w:rsidR="004E0820" w:rsidRDefault="003E59BF" w:rsidP="00D602EF">
                              <w:pPr>
                                <w:contextualSpacing/>
                                <w:jc w:val="center"/>
                              </w:pPr>
                              <w:r>
                                <w:t>5-yearly Curriculum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066800" y="1054100"/>
                            <a:ext cx="3752850" cy="311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833FFCC" w14:textId="77777777" w:rsidR="004E0820" w:rsidRPr="005B45EC" w:rsidRDefault="004E0820" w:rsidP="00D602EF">
                              <w:pPr>
                                <w:jc w:val="center"/>
                                <w:rPr>
                                  <w:color w:val="002060"/>
                                </w:rPr>
                              </w:pPr>
                              <w:r w:rsidRPr="005B45EC">
                                <w:rPr>
                                  <w:color w:val="002060"/>
                                </w:rPr>
                                <w:t>Underpinning QA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0" y="1365250"/>
                            <a:ext cx="5892800" cy="590550"/>
                            <a:chOff x="0" y="0"/>
                            <a:chExt cx="5892800" cy="590550"/>
                          </a:xfrm>
                        </wpg:grpSpPr>
                        <wps:wsp>
                          <wps:cNvPr id="18" name="Rectangle: Rounded Corners 18"/>
                          <wps:cNvSpPr/>
                          <wps:spPr>
                            <a:xfrm>
                              <a:off x="996950" y="38100"/>
                              <a:ext cx="914400" cy="55245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DE939BB" w14:textId="77777777" w:rsidR="004E0820" w:rsidRPr="00E972B8" w:rsidRDefault="004E0820" w:rsidP="00D602EF">
                                <w:pPr>
                                  <w:jc w:val="center"/>
                                  <w:rPr>
                                    <w:sz w:val="18"/>
                                    <w:szCs w:val="18"/>
                                  </w:rPr>
                                </w:pPr>
                                <w:r w:rsidRPr="00E972B8">
                                  <w:rPr>
                                    <w:sz w:val="18"/>
                                    <w:szCs w:val="18"/>
                                  </w:rP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0" y="31750"/>
                              <a:ext cx="914400" cy="5461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758A840" w14:textId="77777777" w:rsidR="004E0820" w:rsidRPr="00E972B8" w:rsidRDefault="004E0820" w:rsidP="00D602EF">
                                <w:pPr>
                                  <w:jc w:val="center"/>
                                  <w:rPr>
                                    <w:sz w:val="18"/>
                                    <w:szCs w:val="18"/>
                                  </w:rPr>
                                </w:pPr>
                                <w:r w:rsidRPr="00E972B8">
                                  <w:rPr>
                                    <w:sz w:val="18"/>
                                    <w:szCs w:val="18"/>
                                  </w:rPr>
                                  <w:t>Academic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1987550" y="31750"/>
                              <a:ext cx="914400" cy="5461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1F3BA00E" w14:textId="77777777" w:rsidR="004E0820" w:rsidRPr="00E972B8" w:rsidRDefault="004E0820" w:rsidP="00D602EF">
                                <w:pPr>
                                  <w:jc w:val="center"/>
                                  <w:rPr>
                                    <w:sz w:val="18"/>
                                    <w:szCs w:val="18"/>
                                  </w:rPr>
                                </w:pPr>
                                <w:r w:rsidRPr="00E972B8">
                                  <w:rPr>
                                    <w:sz w:val="18"/>
                                    <w:szCs w:val="18"/>
                                  </w:rPr>
                                  <w:t>Annual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2984500" y="12700"/>
                              <a:ext cx="914400" cy="5588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4D77F5DA" w14:textId="77777777" w:rsidR="004E0820" w:rsidRPr="00E972B8" w:rsidRDefault="004E0820" w:rsidP="00D602EF">
                                <w:pPr>
                                  <w:jc w:val="center"/>
                                  <w:rPr>
                                    <w:sz w:val="18"/>
                                    <w:szCs w:val="18"/>
                                  </w:rPr>
                                </w:pPr>
                                <w:r w:rsidRPr="00E972B8">
                                  <w:rPr>
                                    <w:sz w:val="18"/>
                                    <w:szCs w:val="18"/>
                                  </w:rPr>
                                  <w:t>External Examiners &amp; PSRBs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3975100" y="6350"/>
                              <a:ext cx="933450" cy="56515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0E1F91F4" w14:textId="77777777" w:rsidR="004E0820" w:rsidRPr="00E972B8" w:rsidRDefault="004E0820" w:rsidP="00D602EF">
                                <w:pPr>
                                  <w:jc w:val="center"/>
                                  <w:rPr>
                                    <w:sz w:val="18"/>
                                    <w:szCs w:val="18"/>
                                  </w:rPr>
                                </w:pPr>
                                <w:r w:rsidRPr="00E972B8">
                                  <w:rPr>
                                    <w:sz w:val="18"/>
                                    <w:szCs w:val="18"/>
                                  </w:rPr>
                                  <w:t>Programme Modification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4978400" y="0"/>
                              <a:ext cx="914400" cy="5715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6C2EE460" w14:textId="77777777" w:rsidR="004E0820" w:rsidRPr="00E972B8" w:rsidRDefault="004E0820" w:rsidP="00D602EF">
                                <w:pPr>
                                  <w:jc w:val="center"/>
                                  <w:rPr>
                                    <w:sz w:val="18"/>
                                    <w:szCs w:val="18"/>
                                  </w:rPr>
                                </w:pPr>
                                <w:r w:rsidRPr="00E972B8">
                                  <w:rPr>
                                    <w:sz w:val="18"/>
                                    <w:szCs w:val="18"/>
                                  </w:rPr>
                                  <w:t>Student Engagement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Arrow: Up 199"/>
                        <wps:cNvSpPr/>
                        <wps:spPr>
                          <a:xfrm flipH="1">
                            <a:off x="2940050" y="1943100"/>
                            <a:ext cx="45719" cy="336550"/>
                          </a:xfrm>
                          <a:prstGeom prst="upArrow">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Up 200"/>
                        <wps:cNvSpPr/>
                        <wps:spPr>
                          <a:xfrm flipH="1">
                            <a:off x="2940050" y="806450"/>
                            <a:ext cx="45719" cy="336550"/>
                          </a:xfrm>
                          <a:prstGeom prst="upArrow">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D13733" id="Group 203" o:spid="_x0000_s1039" alt="A flow chart describing the Periodic Review Process from Academic Planning, Validation, Annual Monitoring, External Examiners &amp; PSRBs, Programme Modification, Student Engagement Mechanisms, Recruitment, Progression &amp; Retention, Awards, Student Surveys and Graduate Outcomes." style="width:428.5pt;height:271.5pt;mso-position-horizontal-relative:char;mso-position-vertical-relative:line" coordsize="58928,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">
                <v:shape id="Text Box 27" o:spid="_x0000_s1040" type="#_x0000_t202" style="position:absolute;left:20510;top:21971;width:1797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" fillcolor="window" strokecolor="window" strokeweight=".5pt">
                  <v:textbox>
                    <w:txbxContent>
                      <w:p w14:paraId="6D03634B" w14:textId="77777777" w:rsidR="004E0820" w:rsidRPr="001A0FD9" w:rsidRDefault="004E0820" w:rsidP="00D602EF">
                        <w:pPr>
                          <w:jc w:val="center"/>
                          <w:rPr>
                            <w:color w:val="002060"/>
                          </w:rPr>
                        </w:pPr>
                        <w:r>
                          <w:rPr>
                            <w:color w:val="002060"/>
                          </w:rPr>
                          <w:t>Evidence (</w:t>
                        </w:r>
                        <w:r w:rsidRPr="001A0FD9">
                          <w:rPr>
                            <w:color w:val="002060"/>
                          </w:rPr>
                          <w:t>Data</w:t>
                        </w:r>
                        <w:r>
                          <w:rPr>
                            <w:color w:val="002060"/>
                          </w:rPr>
                          <w:t>)</w:t>
                        </w:r>
                      </w:p>
                    </w:txbxContent>
                  </v:textbox>
                </v:shape>
                <v:group id="Group 202" o:spid="_x0000_s1041" style="position:absolute;left:5524;top:24567;width:47816;height:6421" coordorigin=",-832" coordsize="4781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oundrect id="Rectangle: Rounded Corners 28" o:spid="_x0000_s1042" style="position:absolute;top:-832;width:9143;height:6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" fillcolor="#4f81bd" strokecolor="#385d8a" strokeweight="1pt">
                    <v:stroke joinstyle="miter"/>
                    <v:textbox>
                      <w:txbxContent>
                        <w:p w14:paraId="360520BE" w14:textId="77777777" w:rsidR="004E0820" w:rsidRPr="00DB2C49" w:rsidRDefault="004E0820" w:rsidP="00D602EF">
                          <w:pPr>
                            <w:jc w:val="center"/>
                            <w:rPr>
                              <w:sz w:val="18"/>
                              <w:szCs w:val="18"/>
                            </w:rPr>
                          </w:pPr>
                          <w:r w:rsidRPr="00DB2C49">
                            <w:rPr>
                              <w:sz w:val="18"/>
                              <w:szCs w:val="18"/>
                            </w:rPr>
                            <w:t>Recruitment</w:t>
                          </w:r>
                        </w:p>
                      </w:txbxContent>
                    </v:textbox>
                  </v:roundrect>
                  <v:roundrect id="Rectangle: Rounded Corners 29" o:spid="_x0000_s1043" style="position:absolute;left:9652;top:-832;width:9143;height:6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" fillcolor="#4f81bd" strokecolor="#385d8a" strokeweight="1pt">
                    <v:stroke joinstyle="miter"/>
                    <v:textbox>
                      <w:txbxContent>
                        <w:p w14:paraId="7DC5F375" w14:textId="77777777" w:rsidR="004E0820" w:rsidRPr="00DB2C49" w:rsidRDefault="004E0820" w:rsidP="00D602EF">
                          <w:pPr>
                            <w:jc w:val="center"/>
                            <w:rPr>
                              <w:sz w:val="18"/>
                              <w:szCs w:val="18"/>
                            </w:rPr>
                          </w:pPr>
                          <w:r w:rsidRPr="00DB2C49">
                            <w:rPr>
                              <w:sz w:val="18"/>
                              <w:szCs w:val="18"/>
                            </w:rPr>
                            <w:t>Progression &amp; Retention</w:t>
                          </w:r>
                        </w:p>
                      </w:txbxContent>
                    </v:textbox>
                  </v:roundrect>
                  <v:roundrect id="Rectangle: Rounded Corners 30" o:spid="_x0000_s1044" style="position:absolute;left:29019;top:-832;width:9144;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" fillcolor="#4f81bd" strokecolor="#385d8a" strokeweight="1pt">
                    <v:stroke joinstyle="miter"/>
                    <v:textbox>
                      <w:txbxContent>
                        <w:p w14:paraId="2E19D8EC" w14:textId="77777777" w:rsidR="004E0820" w:rsidRPr="00DB2C49" w:rsidRDefault="004E0820" w:rsidP="00D602EF">
                          <w:pPr>
                            <w:jc w:val="center"/>
                            <w:rPr>
                              <w:sz w:val="18"/>
                              <w:szCs w:val="18"/>
                            </w:rPr>
                          </w:pPr>
                          <w:r w:rsidRPr="00DB2C49">
                            <w:rPr>
                              <w:sz w:val="18"/>
                              <w:szCs w:val="18"/>
                            </w:rPr>
                            <w:t>Student Surveys</w:t>
                          </w:r>
                        </w:p>
                      </w:txbxContent>
                    </v:textbox>
                  </v:roundrect>
                  <v:roundrect id="Rectangle: Rounded Corners 31" o:spid="_x0000_s1045" style="position:absolute;left:19367;top:-660;width:9144;height:6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" fillcolor="#4f81bd" strokecolor="#385d8a" strokeweight="1pt">
                    <v:stroke joinstyle="miter"/>
                    <v:textbox>
                      <w:txbxContent>
                        <w:p w14:paraId="30A3B4AB" w14:textId="77777777" w:rsidR="004E0820" w:rsidRPr="00DB2C49" w:rsidRDefault="004E0820" w:rsidP="00D602EF">
                          <w:pPr>
                            <w:jc w:val="center"/>
                            <w:rPr>
                              <w:sz w:val="18"/>
                              <w:szCs w:val="18"/>
                            </w:rPr>
                          </w:pPr>
                          <w:r w:rsidRPr="00DB2C49">
                            <w:rPr>
                              <w:sz w:val="18"/>
                              <w:szCs w:val="18"/>
                            </w:rPr>
                            <w:t>Awards</w:t>
                          </w:r>
                        </w:p>
                      </w:txbxContent>
                    </v:textbox>
                  </v:roundrect>
                  <v:roundrect id="Rectangle: Rounded Corners 192" o:spid="_x0000_s1046" style="position:absolute;left:38671;top:-832;width:9144;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" fillcolor="#4f81bd" strokecolor="#385d8a" strokeweight="1pt">
                    <v:stroke joinstyle="miter"/>
                    <v:textbox>
                      <w:txbxContent>
                        <w:p w14:paraId="1356E348" w14:textId="77777777" w:rsidR="004E0820" w:rsidRPr="00DB2C49" w:rsidRDefault="004E0820" w:rsidP="00D602EF">
                          <w:pPr>
                            <w:jc w:val="center"/>
                            <w:rPr>
                              <w:sz w:val="18"/>
                              <w:szCs w:val="18"/>
                            </w:rPr>
                          </w:pPr>
                          <w:r w:rsidRPr="00DB2C49">
                            <w:rPr>
                              <w:sz w:val="18"/>
                              <w:szCs w:val="18"/>
                            </w:rPr>
                            <w:t>Graduate Outcomes</w:t>
                          </w:r>
                        </w:p>
                      </w:txbxContent>
                    </v:textbox>
                  </v:roundrect>
                </v:group>
                <v:shape id="Text Box 14" o:spid="_x0000_s1047" type="#_x0000_t202" style="position:absolute;left:11239;width:36640;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" fillcolor="#688fc5" stroked="f">
                  <v:fill color2="#3a71b2" rotate="t" colors="0 #688fc5;.5 #4a81c2;1 #3a71b2" focus="100%" type="gradient">
                    <o:fill v:ext="view" type="gradientUnscaled"/>
                  </v:fill>
                  <v:shadow on="t" color="black" opacity="41287f" offset="0,1.5pt"/>
                  <v:textbox>
                    <w:txbxContent>
                      <w:p w14:paraId="24F8CF43" w14:textId="5809AC95" w:rsidR="004E0820" w:rsidRDefault="003E59BF" w:rsidP="00D602EF">
                        <w:pPr>
                          <w:contextualSpacing/>
                          <w:jc w:val="center"/>
                        </w:pPr>
                        <w:r>
                          <w:t>5-yearly Curriculum Review</w:t>
                        </w:r>
                      </w:p>
                    </w:txbxContent>
                  </v:textbox>
                </v:shape>
                <v:shape id="Text Box 15" o:spid="_x0000_s1048" type="#_x0000_t202" style="position:absolute;left:10668;top:10541;width:3752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" fillcolor="window" strokecolor="window" strokeweight="1pt">
                  <v:textbox>
                    <w:txbxContent>
                      <w:p w14:paraId="7833FFCC" w14:textId="77777777" w:rsidR="004E0820" w:rsidRPr="005B45EC" w:rsidRDefault="004E0820" w:rsidP="00D602EF">
                        <w:pPr>
                          <w:jc w:val="center"/>
                          <w:rPr>
                            <w:color w:val="002060"/>
                          </w:rPr>
                        </w:pPr>
                        <w:r w:rsidRPr="005B45EC">
                          <w:rPr>
                            <w:color w:val="002060"/>
                          </w:rPr>
                          <w:t>Underpinning QA Processes</w:t>
                        </w:r>
                      </w:p>
                    </w:txbxContent>
                  </v:textbox>
                </v:shape>
                <v:group id="Group 25" o:spid="_x0000_s1049" style="position:absolute;top:13652;width:58928;height:5906" coordsize="58928,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18" o:spid="_x0000_s1050" style="position:absolute;left:9969;top:381;width:9144;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" fillcolor="#4f81bd" strokecolor="#385d8a" strokeweight="1pt">
                    <v:stroke joinstyle="miter"/>
                    <v:textbox>
                      <w:txbxContent>
                        <w:p w14:paraId="7DE939BB" w14:textId="77777777" w:rsidR="004E0820" w:rsidRPr="00E972B8" w:rsidRDefault="004E0820" w:rsidP="00D602EF">
                          <w:pPr>
                            <w:jc w:val="center"/>
                            <w:rPr>
                              <w:sz w:val="18"/>
                              <w:szCs w:val="18"/>
                            </w:rPr>
                          </w:pPr>
                          <w:r w:rsidRPr="00E972B8">
                            <w:rPr>
                              <w:sz w:val="18"/>
                              <w:szCs w:val="18"/>
                            </w:rPr>
                            <w:t>Validation</w:t>
                          </w:r>
                        </w:p>
                      </w:txbxContent>
                    </v:textbox>
                  </v:roundrect>
                  <v:roundrect id="Rectangle: Rounded Corners 19" o:spid="_x0000_s1051" style="position:absolute;top:317;width:9144;height:5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" fillcolor="#4f81bd" strokecolor="#385d8a" strokeweight="1pt">
                    <v:stroke joinstyle="miter"/>
                    <v:textbox>
                      <w:txbxContent>
                        <w:p w14:paraId="7758A840" w14:textId="77777777" w:rsidR="004E0820" w:rsidRPr="00E972B8" w:rsidRDefault="004E0820" w:rsidP="00D602EF">
                          <w:pPr>
                            <w:jc w:val="center"/>
                            <w:rPr>
                              <w:sz w:val="18"/>
                              <w:szCs w:val="18"/>
                            </w:rPr>
                          </w:pPr>
                          <w:r w:rsidRPr="00E972B8">
                            <w:rPr>
                              <w:sz w:val="18"/>
                              <w:szCs w:val="18"/>
                            </w:rPr>
                            <w:t>Academic Planning</w:t>
                          </w:r>
                        </w:p>
                      </w:txbxContent>
                    </v:textbox>
                  </v:roundrect>
                  <v:roundrect id="Rectangle: Rounded Corners 20" o:spid="_x0000_s1052" style="position:absolute;left:19875;top:317;width:9144;height:5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" fillcolor="#4f81bd" strokecolor="#385d8a" strokeweight="1pt">
                    <v:stroke joinstyle="miter"/>
                    <v:textbox>
                      <w:txbxContent>
                        <w:p w14:paraId="1F3BA00E" w14:textId="77777777" w:rsidR="004E0820" w:rsidRPr="00E972B8" w:rsidRDefault="004E0820" w:rsidP="00D602EF">
                          <w:pPr>
                            <w:jc w:val="center"/>
                            <w:rPr>
                              <w:sz w:val="18"/>
                              <w:szCs w:val="18"/>
                            </w:rPr>
                          </w:pPr>
                          <w:r w:rsidRPr="00E972B8">
                            <w:rPr>
                              <w:sz w:val="18"/>
                              <w:szCs w:val="18"/>
                            </w:rPr>
                            <w:t>Annual Monitoring</w:t>
                          </w:r>
                        </w:p>
                      </w:txbxContent>
                    </v:textbox>
                  </v:roundrect>
                  <v:roundrect id="Rectangle: Rounded Corners 21" o:spid="_x0000_s1053" style="position:absolute;left:29845;top:127;width:9144;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" fillcolor="#4f81bd" strokecolor="#385d8a" strokeweight="1pt">
                    <v:stroke joinstyle="miter"/>
                    <v:textbox>
                      <w:txbxContent>
                        <w:p w14:paraId="4D77F5DA" w14:textId="77777777" w:rsidR="004E0820" w:rsidRPr="00E972B8" w:rsidRDefault="004E0820" w:rsidP="00D602EF">
                          <w:pPr>
                            <w:jc w:val="center"/>
                            <w:rPr>
                              <w:sz w:val="18"/>
                              <w:szCs w:val="18"/>
                            </w:rPr>
                          </w:pPr>
                          <w:r w:rsidRPr="00E972B8">
                            <w:rPr>
                              <w:sz w:val="18"/>
                              <w:szCs w:val="18"/>
                            </w:rPr>
                            <w:t>External Examiners &amp; PSRBs</w:t>
                          </w:r>
                        </w:p>
                      </w:txbxContent>
                    </v:textbox>
                  </v:roundrect>
                  <v:roundrect id="Rectangle: Rounded Corners 22" o:spid="_x0000_s1054" style="position:absolute;left:39751;top:63;width:9334;height:5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" fillcolor="#4f81bd" strokecolor="#385d8a" strokeweight="1pt">
                    <v:stroke joinstyle="miter"/>
                    <v:textbox>
                      <w:txbxContent>
                        <w:p w14:paraId="0E1F91F4" w14:textId="77777777" w:rsidR="004E0820" w:rsidRPr="00E972B8" w:rsidRDefault="004E0820" w:rsidP="00D602EF">
                          <w:pPr>
                            <w:jc w:val="center"/>
                            <w:rPr>
                              <w:sz w:val="18"/>
                              <w:szCs w:val="18"/>
                            </w:rPr>
                          </w:pPr>
                          <w:r w:rsidRPr="00E972B8">
                            <w:rPr>
                              <w:sz w:val="18"/>
                              <w:szCs w:val="18"/>
                            </w:rPr>
                            <w:t>Programme Modification</w:t>
                          </w:r>
                        </w:p>
                      </w:txbxContent>
                    </v:textbox>
                  </v:roundrect>
                  <v:roundrect id="Rectangle: Rounded Corners 23" o:spid="_x0000_s1055" style="position:absolute;left:49784;width:9144;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" fillcolor="#4f81bd" strokecolor="#385d8a" strokeweight="1pt">
                    <v:stroke joinstyle="miter"/>
                    <v:textbox>
                      <w:txbxContent>
                        <w:p w14:paraId="6C2EE460" w14:textId="77777777" w:rsidR="004E0820" w:rsidRPr="00E972B8" w:rsidRDefault="004E0820" w:rsidP="00D602EF">
                          <w:pPr>
                            <w:jc w:val="center"/>
                            <w:rPr>
                              <w:sz w:val="18"/>
                              <w:szCs w:val="18"/>
                            </w:rPr>
                          </w:pPr>
                          <w:r w:rsidRPr="00E972B8">
                            <w:rPr>
                              <w:sz w:val="18"/>
                              <w:szCs w:val="18"/>
                            </w:rPr>
                            <w:t>Student Engagement Mechanisms</w:t>
                          </w:r>
                        </w:p>
                      </w:txbxContent>
                    </v:textbox>
                  </v:round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9" o:spid="_x0000_s1056" type="#_x0000_t68" style="position:absolute;left:29400;top:19431;width:457;height:33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" adj="1467" fillcolor="#4f81bd" strokecolor="#385d8a" strokeweight="1pt"/>
                <v:shape id="Arrow: Up 200" o:spid="_x0000_s1057" type="#_x0000_t68" style="position:absolute;left:29400;top:8064;width:457;height:336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" adj="1467" fillcolor="#4f81bd" strokecolor="#385d8a" strokeweight="1pt"/>
                <w10:anchorlock/>
              </v:group>
            </w:pict>
          </mc:Fallback>
        </mc:AlternateContent>
      </w:r>
      <w:r w:rsidR="00D602EF" w:rsidRPr="00616A84">
        <w:rPr>
          <w:b/>
          <w:bCs/>
          <w:sz w:val="20"/>
          <w:szCs w:val="20"/>
        </w:rPr>
        <w:t xml:space="preserve">Figure </w:t>
      </w:r>
      <w:r w:rsidR="007C6615">
        <w:rPr>
          <w:b/>
          <w:bCs/>
          <w:sz w:val="20"/>
          <w:szCs w:val="20"/>
        </w:rPr>
        <w:t>3</w:t>
      </w:r>
      <w:r w:rsidR="00D602EF" w:rsidRPr="00616A84">
        <w:rPr>
          <w:b/>
          <w:bCs/>
          <w:sz w:val="20"/>
          <w:szCs w:val="20"/>
        </w:rPr>
        <w:t xml:space="preserve">: </w:t>
      </w:r>
      <w:r w:rsidR="00D602EF">
        <w:rPr>
          <w:b/>
          <w:bCs/>
          <w:sz w:val="20"/>
          <w:szCs w:val="20"/>
        </w:rPr>
        <w:t xml:space="preserve">Quality Assurance </w:t>
      </w:r>
      <w:r w:rsidR="00D602EF" w:rsidRPr="00616A84">
        <w:rPr>
          <w:b/>
          <w:bCs/>
          <w:sz w:val="20"/>
          <w:szCs w:val="20"/>
        </w:rPr>
        <w:t>Process Chart</w:t>
      </w:r>
    </w:p>
    <w:p w14:paraId="75622B37" w14:textId="77777777" w:rsidR="003E59BF" w:rsidRDefault="003E59BF" w:rsidP="008A2C8C">
      <w:pPr>
        <w:pStyle w:val="Heading2"/>
      </w:pPr>
    </w:p>
    <w:p w14:paraId="778A0EB7" w14:textId="46F663DF" w:rsidR="00BC0AE5" w:rsidRPr="00BC0AE5" w:rsidRDefault="00BC0AE5" w:rsidP="008A2C8C">
      <w:pPr>
        <w:pStyle w:val="Heading2"/>
      </w:pPr>
      <w:bookmarkStart w:id="17" w:name="_Toc146807851"/>
      <w:r w:rsidRPr="00BC0AE5">
        <w:t xml:space="preserve">Evaluating </w:t>
      </w:r>
      <w:r>
        <w:t xml:space="preserve">our </w:t>
      </w:r>
      <w:r w:rsidRPr="00BC0AE5">
        <w:t>Quality Assurance Systems</w:t>
      </w:r>
      <w:bookmarkEnd w:id="17"/>
    </w:p>
    <w:p w14:paraId="74563EC6" w14:textId="0D68CA44" w:rsidR="00DF4904" w:rsidRPr="00DF4904" w:rsidRDefault="00DF4904" w:rsidP="00DF4904">
      <w:pPr>
        <w:contextualSpacing/>
        <w:jc w:val="both"/>
      </w:pPr>
      <w:r w:rsidRPr="00DF4904">
        <w:t xml:space="preserve">The </w:t>
      </w:r>
      <w:r w:rsidR="006C31A0">
        <w:t>operation</w:t>
      </w:r>
      <w:r w:rsidR="00ED49B0">
        <w:t xml:space="preserve"> of</w:t>
      </w:r>
      <w:r w:rsidRPr="00DF4904">
        <w:t xml:space="preserve"> the quality strategy is monitored and evaluated using direct feedback from Faculties and academic-related support services </w:t>
      </w:r>
      <w:r w:rsidR="008E26FB">
        <w:t>and the membership of</w:t>
      </w:r>
      <w:r w:rsidRPr="00DF4904">
        <w:t xml:space="preserve"> AQEC</w:t>
      </w:r>
      <w:r w:rsidR="004D2479">
        <w:t>.</w:t>
      </w:r>
      <w:r w:rsidR="004D2479">
        <w:rPr>
          <w:bCs/>
        </w:rPr>
        <w:t xml:space="preserve"> </w:t>
      </w:r>
      <w:r w:rsidR="00CC57D1">
        <w:t>The</w:t>
      </w:r>
      <w:r w:rsidR="004D2479" w:rsidRPr="004D2479">
        <w:rPr>
          <w:bCs/>
        </w:rPr>
        <w:t xml:space="preserve"> </w:t>
      </w:r>
      <w:r w:rsidR="00490ED5" w:rsidRPr="00DF4904">
        <w:rPr>
          <w:b/>
        </w:rPr>
        <w:t>Annual Process Review</w:t>
      </w:r>
      <w:r w:rsidR="00490ED5">
        <w:rPr>
          <w:b/>
        </w:rPr>
        <w:t xml:space="preserve"> (APR)</w:t>
      </w:r>
      <w:r w:rsidR="00461784">
        <w:t xml:space="preserve"> provides the</w:t>
      </w:r>
      <w:r w:rsidRPr="00DF4904">
        <w:t xml:space="preserve"> opportunity to propose procedural changes for implementation in the next academic year. APR planning and preparation commences at the </w:t>
      </w:r>
      <w:r w:rsidRPr="00DF4904">
        <w:lastRenderedPageBreak/>
        <w:t>Quality Operations Group</w:t>
      </w:r>
      <w:r w:rsidR="004D2479" w:rsidRPr="00DF4904">
        <w:rPr>
          <w:vertAlign w:val="superscript"/>
        </w:rPr>
        <w:footnoteReference w:id="11"/>
      </w:r>
      <w:r w:rsidRPr="00DF4904">
        <w:t xml:space="preserve"> and </w:t>
      </w:r>
      <w:r w:rsidR="008D38C9">
        <w:t xml:space="preserve">discussions </w:t>
      </w:r>
      <w:r w:rsidRPr="00DF4904">
        <w:t>inform</w:t>
      </w:r>
      <w:r w:rsidR="008D38C9">
        <w:t xml:space="preserve"> the production of</w:t>
      </w:r>
      <w:r w:rsidRPr="00DF4904">
        <w:t xml:space="preserve"> a preliminary scoping document</w:t>
      </w:r>
      <w:r w:rsidR="009812FA">
        <w:t xml:space="preserve"> which is</w:t>
      </w:r>
      <w:r w:rsidRPr="00DF4904">
        <w:t xml:space="preserve"> received by AQEC</w:t>
      </w:r>
      <w:r w:rsidR="009812FA">
        <w:t xml:space="preserve"> </w:t>
      </w:r>
      <w:r w:rsidR="00B33EF5">
        <w:t>in Spring</w:t>
      </w:r>
      <w:r w:rsidR="00614A5A">
        <w:t xml:space="preserve">. </w:t>
      </w:r>
      <w:r w:rsidR="008A330E">
        <w:t>Following a period of consultation</w:t>
      </w:r>
      <w:r w:rsidR="00AD4A8D">
        <w:t>,</w:t>
      </w:r>
      <w:r w:rsidR="008A330E">
        <w:t xml:space="preserve"> </w:t>
      </w:r>
      <w:r w:rsidRPr="00DF4904">
        <w:t xml:space="preserve">the final APR </w:t>
      </w:r>
      <w:r w:rsidR="008A330E">
        <w:t xml:space="preserve">is </w:t>
      </w:r>
      <w:r w:rsidR="00B20CD8">
        <w:t>approved by</w:t>
      </w:r>
      <w:r w:rsidR="00865AC1">
        <w:t xml:space="preserve"> AQEC</w:t>
      </w:r>
      <w:r w:rsidRPr="00DF4904">
        <w:t xml:space="preserve"> in </w:t>
      </w:r>
      <w:r w:rsidR="00F0678D">
        <w:t>summer</w:t>
      </w:r>
      <w:r w:rsidR="00231F42">
        <w:t>,</w:t>
      </w:r>
      <w:r w:rsidR="00CC22B2">
        <w:t xml:space="preserve"> prompt</w:t>
      </w:r>
      <w:r w:rsidR="00711F91">
        <w:t>ing</w:t>
      </w:r>
      <w:r w:rsidR="00F0678D">
        <w:t xml:space="preserve"> </w:t>
      </w:r>
      <w:r w:rsidR="000641E4">
        <w:t>revisions to this</w:t>
      </w:r>
      <w:r w:rsidRPr="00DF4904">
        <w:t xml:space="preserve"> Handbook</w:t>
      </w:r>
      <w:r w:rsidR="000641E4">
        <w:t>. A revised edition of this</w:t>
      </w:r>
      <w:r w:rsidR="00231F42">
        <w:t xml:space="preserve"> Handbook</w:t>
      </w:r>
      <w:r w:rsidR="00B4249F">
        <w:t xml:space="preserve"> </w:t>
      </w:r>
      <w:r w:rsidR="00360FEE">
        <w:t xml:space="preserve">is considered for approval by </w:t>
      </w:r>
      <w:r w:rsidRPr="00DF4904">
        <w:t xml:space="preserve">AQEC </w:t>
      </w:r>
      <w:r w:rsidR="00360FEE">
        <w:t xml:space="preserve">at </w:t>
      </w:r>
      <w:r w:rsidR="003E59BF">
        <w:t>its first meeting</w:t>
      </w:r>
      <w:r w:rsidR="00360FEE">
        <w:t xml:space="preserve"> of the academic year</w:t>
      </w:r>
      <w:r w:rsidRPr="00DF4904">
        <w:t>.</w:t>
      </w:r>
    </w:p>
    <w:p w14:paraId="7AFCF294" w14:textId="77777777" w:rsidR="003A1803" w:rsidRDefault="003A1803" w:rsidP="00DF4904">
      <w:pPr>
        <w:contextualSpacing/>
        <w:jc w:val="both"/>
      </w:pPr>
    </w:p>
    <w:p w14:paraId="2BB329AB" w14:textId="72066927" w:rsidR="00DF4904" w:rsidRPr="00DF4904" w:rsidRDefault="00DF4904" w:rsidP="00DF4904">
      <w:pPr>
        <w:contextualSpacing/>
        <w:jc w:val="both"/>
      </w:pPr>
      <w:r w:rsidRPr="00DF4904">
        <w:t xml:space="preserve">AQEC may occasionally be asked to approve minor in-year procedural amendments in response to internal (strategic) or external market or regulatory changes. Chapter 10 of this Handbook, titled </w:t>
      </w:r>
      <w:r w:rsidRPr="00DF4904">
        <w:rPr>
          <w:i/>
        </w:rPr>
        <w:t>New Procedures</w:t>
      </w:r>
      <w:r w:rsidRPr="00DF4904">
        <w:t>, provides a ‘holding area’ for approved in-year changes which are then reviewed and incorporated within the relevant principal chapter when the Handbook is re-published the following year.</w:t>
      </w:r>
    </w:p>
    <w:p w14:paraId="00C42A26" w14:textId="7BC23A0B" w:rsidR="00AC416A" w:rsidRPr="00807BFA" w:rsidRDefault="00D33DA3" w:rsidP="00807BFA">
      <w:pPr>
        <w:pStyle w:val="Heading2"/>
        <w:spacing w:before="600"/>
        <w:contextualSpacing/>
        <w:jc w:val="both"/>
        <w:rPr>
          <w:szCs w:val="28"/>
        </w:rPr>
      </w:pPr>
      <w:bookmarkStart w:id="18" w:name="_Toc146807852"/>
      <w:r>
        <w:rPr>
          <w:szCs w:val="28"/>
        </w:rPr>
        <w:t>Faculty Academic Quality Statement</w:t>
      </w:r>
      <w:r w:rsidR="00AC416A" w:rsidRPr="00807BFA">
        <w:rPr>
          <w:szCs w:val="28"/>
        </w:rPr>
        <w:t>s</w:t>
      </w:r>
      <w:bookmarkEnd w:id="18"/>
    </w:p>
    <w:p w14:paraId="00919334" w14:textId="5A11C152" w:rsidR="00AC416A" w:rsidRPr="00AC416A" w:rsidRDefault="00AC416A" w:rsidP="00D33DA3">
      <w:pPr>
        <w:contextualSpacing/>
        <w:jc w:val="both"/>
      </w:pPr>
      <w:r w:rsidRPr="00AC416A">
        <w:t>The University’s quality management strategy permits the delegation of certain quality assurance responsibilities to Faculties</w:t>
      </w:r>
      <w:r w:rsidR="000F1CCD">
        <w:t xml:space="preserve">. </w:t>
      </w:r>
      <w:r w:rsidRPr="00AC416A">
        <w:t xml:space="preserve">Each Faculty produces a </w:t>
      </w:r>
      <w:hyperlink r:id="rId31" w:history="1">
        <w:r w:rsidR="00D33DA3" w:rsidRPr="00832090">
          <w:rPr>
            <w:rStyle w:val="Hyperlink"/>
            <w:b/>
          </w:rPr>
          <w:t>Faculty Academic Quality Statement</w:t>
        </w:r>
      </w:hyperlink>
      <w:r w:rsidRPr="00AC416A">
        <w:t xml:space="preserve"> that describes the operational processes for executing the responsibilities that have been delegated to it</w:t>
      </w:r>
      <w:r w:rsidR="003D1BBC">
        <w:t>.</w:t>
      </w:r>
      <w:r w:rsidRPr="00AC416A">
        <w:t xml:space="preserve"> </w:t>
      </w:r>
      <w:r w:rsidR="00656784">
        <w:t>T</w:t>
      </w:r>
      <w:r w:rsidRPr="00AC416A">
        <w:t xml:space="preserve">he purpose of </w:t>
      </w:r>
      <w:r w:rsidR="00656784">
        <w:t>the statements</w:t>
      </w:r>
      <w:r w:rsidRPr="00AC416A">
        <w:t xml:space="preserve"> is to assure the University (via AQEC) that </w:t>
      </w:r>
      <w:r w:rsidR="00423397">
        <w:t>the</w:t>
      </w:r>
      <w:r w:rsidRPr="00AC416A">
        <w:t xml:space="preserve"> arrangements</w:t>
      </w:r>
      <w:r w:rsidR="00423397">
        <w:t xml:space="preserve"> adopted by Faculties</w:t>
      </w:r>
      <w:r w:rsidRPr="00AC416A">
        <w:t xml:space="preserve"> remain consistent with the Institution’s overarching quality management strategy</w:t>
      </w:r>
      <w:r w:rsidR="0003295B">
        <w:t>,</w:t>
      </w:r>
      <w:r w:rsidR="00872978">
        <w:t xml:space="preserve"> </w:t>
      </w:r>
      <w:r w:rsidR="00423397">
        <w:t>remain</w:t>
      </w:r>
      <w:r w:rsidR="00F603C9">
        <w:t>s</w:t>
      </w:r>
      <w:r w:rsidR="00423397" w:rsidRPr="00423397">
        <w:t xml:space="preserve"> </w:t>
      </w:r>
      <w:r w:rsidR="00423397" w:rsidRPr="00AC416A">
        <w:t>fit-for-purpose</w:t>
      </w:r>
      <w:r w:rsidR="00F603C9">
        <w:t xml:space="preserve"> and </w:t>
      </w:r>
      <w:r w:rsidR="00265F86">
        <w:t xml:space="preserve">are being carried out </w:t>
      </w:r>
      <w:r w:rsidR="00F603C9">
        <w:t>effectiv</w:t>
      </w:r>
      <w:r w:rsidR="00265F86">
        <w:t>ely</w:t>
      </w:r>
      <w:r w:rsidR="00423397">
        <w:t>.</w:t>
      </w:r>
    </w:p>
    <w:p w14:paraId="0E385166" w14:textId="77777777" w:rsidR="00760CA1" w:rsidRDefault="00760CA1" w:rsidP="00760CA1">
      <w:pPr>
        <w:contextualSpacing/>
        <w:jc w:val="both"/>
      </w:pPr>
    </w:p>
    <w:p w14:paraId="357A99F8" w14:textId="1C8DA869" w:rsidR="00715A5A" w:rsidRDefault="00D33DA3" w:rsidP="00760CA1">
      <w:pPr>
        <w:contextualSpacing/>
        <w:jc w:val="both"/>
      </w:pPr>
      <w:r>
        <w:t>Faculty Academic Quality Statement</w:t>
      </w:r>
      <w:r w:rsidR="00AC416A" w:rsidRPr="00AC416A">
        <w:t>s specify how the following delegated responsibilities are operationalised:</w:t>
      </w:r>
      <w:r w:rsidR="00D80A74">
        <w:t xml:space="preserve"> </w:t>
      </w:r>
    </w:p>
    <w:p w14:paraId="0046A715" w14:textId="77777777" w:rsidR="00807BFA" w:rsidRDefault="00807BFA" w:rsidP="00760CA1">
      <w:pPr>
        <w:contextualSpacing/>
        <w:jc w:val="both"/>
      </w:pPr>
    </w:p>
    <w:tbl>
      <w:tblPr>
        <w:tblStyle w:val="PlainTable1"/>
        <w:tblW w:w="0" w:type="auto"/>
        <w:tblLook w:val="04A0" w:firstRow="1" w:lastRow="0" w:firstColumn="1" w:lastColumn="0" w:noHBand="0" w:noVBand="1"/>
      </w:tblPr>
      <w:tblGrid>
        <w:gridCol w:w="1009"/>
        <w:gridCol w:w="682"/>
        <w:gridCol w:w="7320"/>
      </w:tblGrid>
      <w:tr w:rsidR="00D8672D" w:rsidRPr="00327090" w14:paraId="120422AB" w14:textId="77777777" w:rsidTr="007B62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9" w:type="dxa"/>
          </w:tcPr>
          <w:p w14:paraId="0DAE37F8" w14:textId="27EE4504" w:rsidR="00D8672D" w:rsidRPr="00327090" w:rsidRDefault="00D8672D" w:rsidP="00807BFA">
            <w:pPr>
              <w:contextualSpacing/>
              <w:jc w:val="center"/>
            </w:pPr>
            <w:r w:rsidRPr="00327090">
              <w:t>Chapter</w:t>
            </w:r>
          </w:p>
        </w:tc>
        <w:tc>
          <w:tcPr>
            <w:tcW w:w="682" w:type="dxa"/>
          </w:tcPr>
          <w:p w14:paraId="6FA5DA84" w14:textId="2A76F56A" w:rsidR="00D8672D" w:rsidRPr="00327090" w:rsidRDefault="00D8672D" w:rsidP="00807BFA">
            <w:pPr>
              <w:contextualSpacing/>
              <w:jc w:val="center"/>
              <w:cnfStyle w:val="100000000000" w:firstRow="1" w:lastRow="0" w:firstColumn="0" w:lastColumn="0" w:oddVBand="0" w:evenVBand="0" w:oddHBand="0" w:evenHBand="0" w:firstRowFirstColumn="0" w:firstRowLastColumn="0" w:lastRowFirstColumn="0" w:lastRowLastColumn="0"/>
            </w:pPr>
            <w:r w:rsidRPr="00327090">
              <w:t>Ref</w:t>
            </w:r>
            <w:r w:rsidR="00807BFA" w:rsidRPr="00327090">
              <w:t>.</w:t>
            </w:r>
          </w:p>
        </w:tc>
        <w:tc>
          <w:tcPr>
            <w:tcW w:w="7320" w:type="dxa"/>
          </w:tcPr>
          <w:p w14:paraId="48BCE759" w14:textId="77777777" w:rsidR="00D8672D" w:rsidRPr="00327090" w:rsidRDefault="00D8672D" w:rsidP="00760CA1">
            <w:pPr>
              <w:contextualSpacing/>
              <w:jc w:val="both"/>
              <w:cnfStyle w:val="100000000000" w:firstRow="1" w:lastRow="0" w:firstColumn="0" w:lastColumn="0" w:oddVBand="0" w:evenVBand="0" w:oddHBand="0" w:evenHBand="0" w:firstRowFirstColumn="0" w:firstRowLastColumn="0" w:lastRowFirstColumn="0" w:lastRowLastColumn="0"/>
            </w:pPr>
            <w:r w:rsidRPr="00327090">
              <w:t>Delegated Responsibility</w:t>
            </w:r>
          </w:p>
        </w:tc>
      </w:tr>
      <w:tr w:rsidR="00D8672D" w:rsidRPr="00327090" w14:paraId="2EF15285"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3B2ABB9"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3872BB7D"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a)</w:t>
            </w:r>
          </w:p>
        </w:tc>
        <w:tc>
          <w:tcPr>
            <w:tcW w:w="7320" w:type="dxa"/>
          </w:tcPr>
          <w:p w14:paraId="248F77BD"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Any arrangements for direct engagement between external examiners and students.</w:t>
            </w:r>
          </w:p>
        </w:tc>
      </w:tr>
      <w:tr w:rsidR="00D8672D" w:rsidRPr="00327090" w14:paraId="04259EC1"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7AF78F61"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06447EFE" w14:textId="77777777" w:rsidR="00D8672D" w:rsidRPr="00327090" w:rsidRDefault="00D8672D"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b)</w:t>
            </w:r>
          </w:p>
        </w:tc>
        <w:tc>
          <w:tcPr>
            <w:tcW w:w="7320" w:type="dxa"/>
          </w:tcPr>
          <w:p w14:paraId="0CC88867" w14:textId="77777777" w:rsidR="00D8672D" w:rsidRPr="00327090" w:rsidRDefault="00D8672D"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 xml:space="preserve">The process by which students are informed of the name, </w:t>
            </w:r>
            <w:proofErr w:type="gramStart"/>
            <w:r w:rsidRPr="00327090">
              <w:rPr>
                <w:sz w:val="22"/>
              </w:rPr>
              <w:t>position</w:t>
            </w:r>
            <w:proofErr w:type="gramEnd"/>
            <w:r w:rsidRPr="00327090">
              <w:rPr>
                <w:sz w:val="22"/>
              </w:rPr>
              <w:t xml:space="preserve"> and home institution of their external examiner.</w:t>
            </w:r>
          </w:p>
        </w:tc>
      </w:tr>
      <w:tr w:rsidR="00D8672D" w:rsidRPr="00327090" w14:paraId="417BC770"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2480298"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0F9848B4"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c)</w:t>
            </w:r>
          </w:p>
        </w:tc>
        <w:tc>
          <w:tcPr>
            <w:tcW w:w="7320" w:type="dxa"/>
          </w:tcPr>
          <w:p w14:paraId="6029DFCE"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 xml:space="preserve">The process by which the </w:t>
            </w:r>
            <w:proofErr w:type="gramStart"/>
            <w:r w:rsidRPr="00327090">
              <w:rPr>
                <w:sz w:val="22"/>
              </w:rPr>
              <w:t>Faculty</w:t>
            </w:r>
            <w:proofErr w:type="gramEnd"/>
            <w:r w:rsidRPr="00327090">
              <w:rPr>
                <w:sz w:val="22"/>
              </w:rPr>
              <w:t xml:space="preserve"> communicates the addition or replacement of modules within external examiners’ approved programme remits and communicates these to the External Examiners Administrator and/or updates the institutional External Examiners’ Database.</w:t>
            </w:r>
          </w:p>
        </w:tc>
      </w:tr>
      <w:tr w:rsidR="00D8672D" w:rsidRPr="00327090" w14:paraId="739F36D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449EF937"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21CB918B" w14:textId="77777777" w:rsidR="00D8672D" w:rsidRPr="00327090" w:rsidRDefault="00D8672D"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d)</w:t>
            </w:r>
          </w:p>
        </w:tc>
        <w:tc>
          <w:tcPr>
            <w:tcW w:w="7320" w:type="dxa"/>
          </w:tcPr>
          <w:p w14:paraId="199B3DD1" w14:textId="77777777" w:rsidR="00D8672D" w:rsidRPr="00327090" w:rsidRDefault="00D8672D"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 xml:space="preserve">The process by which the </w:t>
            </w:r>
            <w:proofErr w:type="gramStart"/>
            <w:r w:rsidRPr="00327090">
              <w:rPr>
                <w:sz w:val="22"/>
              </w:rPr>
              <w:t>Faculty</w:t>
            </w:r>
            <w:proofErr w:type="gramEnd"/>
            <w:r w:rsidRPr="00327090">
              <w:rPr>
                <w:sz w:val="22"/>
              </w:rPr>
              <w:t xml:space="preserve"> approves the addition or replacement of modules assigned to external examiners outside of their approved programme remit and communicates these to the External Examiners Administrator and External Examiners Sub-Committee (as ‘Changes to Academic Provision Coverage’).</w:t>
            </w:r>
          </w:p>
        </w:tc>
      </w:tr>
      <w:tr w:rsidR="00D8672D" w:rsidRPr="00327090" w14:paraId="149A1C87"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E08C87A"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71FFC476"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e)</w:t>
            </w:r>
          </w:p>
        </w:tc>
        <w:tc>
          <w:tcPr>
            <w:tcW w:w="7320" w:type="dxa"/>
          </w:tcPr>
          <w:p w14:paraId="7C20E264"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 xml:space="preserve">The process for reviewing actions taken in response to issues raised by external examiners and surfaced in the </w:t>
            </w:r>
            <w:proofErr w:type="gramStart"/>
            <w:r w:rsidRPr="00327090">
              <w:rPr>
                <w:sz w:val="22"/>
              </w:rPr>
              <w:t>Faculty’s</w:t>
            </w:r>
            <w:proofErr w:type="gramEnd"/>
            <w:r w:rsidRPr="00327090">
              <w:rPr>
                <w:sz w:val="22"/>
              </w:rPr>
              <w:t xml:space="preserve"> annual Summary of External Examiners Reports and Departmental Responses.</w:t>
            </w:r>
          </w:p>
        </w:tc>
      </w:tr>
      <w:tr w:rsidR="00AC416A" w:rsidRPr="00327090" w14:paraId="55E318AA"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4B319409" w14:textId="77777777" w:rsidR="00AC416A" w:rsidRPr="00327090" w:rsidRDefault="00AC416A" w:rsidP="00807BFA">
            <w:pPr>
              <w:contextualSpacing/>
              <w:jc w:val="center"/>
              <w:rPr>
                <w:b w:val="0"/>
                <w:bCs w:val="0"/>
                <w:sz w:val="22"/>
              </w:rPr>
            </w:pPr>
            <w:r w:rsidRPr="00327090">
              <w:rPr>
                <w:b w:val="0"/>
                <w:bCs w:val="0"/>
                <w:sz w:val="22"/>
              </w:rPr>
              <w:lastRenderedPageBreak/>
              <w:t>2</w:t>
            </w:r>
          </w:p>
        </w:tc>
        <w:tc>
          <w:tcPr>
            <w:tcW w:w="682" w:type="dxa"/>
          </w:tcPr>
          <w:p w14:paraId="4808EA39"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f)</w:t>
            </w:r>
          </w:p>
        </w:tc>
        <w:tc>
          <w:tcPr>
            <w:tcW w:w="7320" w:type="dxa"/>
          </w:tcPr>
          <w:p w14:paraId="190E5517" w14:textId="77777777"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(Other than via programme boards) The process by which students may access external examiner reports and departmental responses.</w:t>
            </w:r>
          </w:p>
        </w:tc>
      </w:tr>
      <w:tr w:rsidR="00AC416A" w:rsidRPr="00327090" w14:paraId="7D14CF69"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04360C46"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28819D17"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a)</w:t>
            </w:r>
          </w:p>
        </w:tc>
        <w:tc>
          <w:tcPr>
            <w:tcW w:w="7320" w:type="dxa"/>
          </w:tcPr>
          <w:p w14:paraId="0F745606" w14:textId="77777777"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 xml:space="preserve">Consideration of actions from Department Annual Monitoring that have been directed for the </w:t>
            </w:r>
            <w:proofErr w:type="gramStart"/>
            <w:r w:rsidRPr="00327090">
              <w:rPr>
                <w:sz w:val="22"/>
              </w:rPr>
              <w:t>Faculty’s</w:t>
            </w:r>
            <w:proofErr w:type="gramEnd"/>
            <w:r w:rsidRPr="00327090">
              <w:rPr>
                <w:sz w:val="22"/>
              </w:rPr>
              <w:t xml:space="preserve"> attention, including matters raised by Heads of Department in their departmental Quality Enhancement Plans (action plans).</w:t>
            </w:r>
          </w:p>
        </w:tc>
      </w:tr>
      <w:tr w:rsidR="00AC416A" w:rsidRPr="00327090" w14:paraId="51006C44"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2265E7EE"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3A7F67CF"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b)</w:t>
            </w:r>
          </w:p>
        </w:tc>
        <w:tc>
          <w:tcPr>
            <w:tcW w:w="7320" w:type="dxa"/>
          </w:tcPr>
          <w:p w14:paraId="44BE3B94" w14:textId="77777777"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 xml:space="preserve">Annual monitoring of modules and programmes within departments and how the </w:t>
            </w:r>
            <w:proofErr w:type="gramStart"/>
            <w:r w:rsidRPr="00327090">
              <w:rPr>
                <w:sz w:val="22"/>
              </w:rPr>
              <w:t>Faculty</w:t>
            </w:r>
            <w:proofErr w:type="gramEnd"/>
            <w:r w:rsidRPr="00327090">
              <w:rPr>
                <w:sz w:val="22"/>
              </w:rPr>
              <w:t xml:space="preserve"> is assured of its consistency and rigour.</w:t>
            </w:r>
          </w:p>
        </w:tc>
      </w:tr>
      <w:tr w:rsidR="00AC416A" w:rsidRPr="00327090" w14:paraId="07996753"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8463BD5"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597206A9"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c)</w:t>
            </w:r>
          </w:p>
        </w:tc>
        <w:tc>
          <w:tcPr>
            <w:tcW w:w="7320" w:type="dxa"/>
          </w:tcPr>
          <w:p w14:paraId="067668A6" w14:textId="49374335"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Operation of programme boards and Student-Staff Consultative Fora (SSCFs)</w:t>
            </w:r>
            <w:r w:rsidR="00BE45FF" w:rsidRPr="00327090">
              <w:rPr>
                <w:sz w:val="22"/>
              </w:rPr>
              <w:t>;</w:t>
            </w:r>
            <w:r w:rsidRPr="00327090">
              <w:rPr>
                <w:sz w:val="22"/>
              </w:rPr>
              <w:t xml:space="preserve"> to include the consideration </w:t>
            </w:r>
            <w:r w:rsidR="00F64C3D" w:rsidRPr="00327090">
              <w:rPr>
                <w:sz w:val="22"/>
              </w:rPr>
              <w:t>of</w:t>
            </w:r>
            <w:r w:rsidRPr="00327090">
              <w:rPr>
                <w:sz w:val="22"/>
              </w:rPr>
              <w:t xml:space="preserve"> external examiner reports and departmental responses; annual monitoring and review reports; Student Pulse Surveys; and (where practicable) Applications for Development Consent and initial proposals for programme modifications.</w:t>
            </w:r>
          </w:p>
        </w:tc>
      </w:tr>
      <w:tr w:rsidR="00AC416A" w:rsidRPr="00327090" w14:paraId="223743C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231D856A"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3E93F811"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a)</w:t>
            </w:r>
          </w:p>
        </w:tc>
        <w:tc>
          <w:tcPr>
            <w:tcW w:w="7320" w:type="dxa"/>
          </w:tcPr>
          <w:p w14:paraId="4DA085BB" w14:textId="400928CF" w:rsidR="00AC416A" w:rsidRPr="00327090" w:rsidRDefault="00BE45FF"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P</w:t>
            </w:r>
            <w:r w:rsidR="00AC416A" w:rsidRPr="00327090">
              <w:rPr>
                <w:sz w:val="22"/>
              </w:rPr>
              <w:t>lanning of new programmes</w:t>
            </w:r>
            <w:r w:rsidR="00291DA3" w:rsidRPr="00327090">
              <w:rPr>
                <w:sz w:val="22"/>
              </w:rPr>
              <w:t>,</w:t>
            </w:r>
            <w:r w:rsidR="00AC416A" w:rsidRPr="00327090">
              <w:rPr>
                <w:sz w:val="22"/>
              </w:rPr>
              <w:t xml:space="preserve"> including </w:t>
            </w:r>
            <w:r w:rsidR="00291DA3" w:rsidRPr="00327090">
              <w:rPr>
                <w:sz w:val="22"/>
              </w:rPr>
              <w:t xml:space="preserve">the use of </w:t>
            </w:r>
            <w:r w:rsidRPr="00327090">
              <w:rPr>
                <w:sz w:val="22"/>
              </w:rPr>
              <w:t xml:space="preserve">Market </w:t>
            </w:r>
            <w:r w:rsidR="00291DA3" w:rsidRPr="00327090">
              <w:rPr>
                <w:sz w:val="22"/>
              </w:rPr>
              <w:t>A</w:t>
            </w:r>
            <w:r w:rsidRPr="00327090">
              <w:rPr>
                <w:sz w:val="22"/>
              </w:rPr>
              <w:t>naly</w:t>
            </w:r>
            <w:r w:rsidR="00291DA3" w:rsidRPr="00327090">
              <w:rPr>
                <w:sz w:val="22"/>
              </w:rPr>
              <w:t xml:space="preserve">sis Reports and the </w:t>
            </w:r>
            <w:r w:rsidR="00AC416A" w:rsidRPr="00327090">
              <w:rPr>
                <w:sz w:val="22"/>
              </w:rPr>
              <w:t>approval of Applications for Development Consent to proceed to the University’s Academic Planning Committee (APC).</w:t>
            </w:r>
          </w:p>
        </w:tc>
      </w:tr>
      <w:tr w:rsidR="00AC416A" w:rsidRPr="00327090" w14:paraId="544FE68B"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D310CC1" w14:textId="64273171" w:rsidR="00AC416A" w:rsidRPr="00327090" w:rsidRDefault="00AC416A" w:rsidP="00807BFA">
            <w:pPr>
              <w:contextualSpacing/>
              <w:jc w:val="center"/>
              <w:rPr>
                <w:b w:val="0"/>
                <w:bCs w:val="0"/>
                <w:sz w:val="22"/>
              </w:rPr>
            </w:pPr>
            <w:r w:rsidRPr="00327090">
              <w:rPr>
                <w:b w:val="0"/>
                <w:bCs w:val="0"/>
                <w:sz w:val="22"/>
              </w:rPr>
              <w:t>4</w:t>
            </w:r>
          </w:p>
          <w:p w14:paraId="1DC31691" w14:textId="77777777" w:rsidR="00AC416A" w:rsidRPr="00327090" w:rsidRDefault="00AC416A" w:rsidP="00807BFA">
            <w:pPr>
              <w:contextualSpacing/>
              <w:jc w:val="center"/>
              <w:rPr>
                <w:b w:val="0"/>
                <w:bCs w:val="0"/>
                <w:sz w:val="22"/>
              </w:rPr>
            </w:pPr>
          </w:p>
        </w:tc>
        <w:tc>
          <w:tcPr>
            <w:tcW w:w="682" w:type="dxa"/>
          </w:tcPr>
          <w:p w14:paraId="604572F8"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b)</w:t>
            </w:r>
          </w:p>
        </w:tc>
        <w:tc>
          <w:tcPr>
            <w:tcW w:w="7320" w:type="dxa"/>
          </w:tcPr>
          <w:p w14:paraId="63587A12" w14:textId="5B4CBC35"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 xml:space="preserve">Faculty </w:t>
            </w:r>
            <w:r w:rsidR="00AE3C16" w:rsidRPr="00327090">
              <w:rPr>
                <w:sz w:val="22"/>
              </w:rPr>
              <w:t>approval</w:t>
            </w:r>
            <w:r w:rsidRPr="00327090">
              <w:rPr>
                <w:sz w:val="22"/>
              </w:rPr>
              <w:t xml:space="preserve"> of new programmes </w:t>
            </w:r>
            <w:r w:rsidR="00AE3C16" w:rsidRPr="00327090">
              <w:rPr>
                <w:sz w:val="22"/>
              </w:rPr>
              <w:t>to proceed to Institutional validation</w:t>
            </w:r>
            <w:r w:rsidRPr="00327090">
              <w:rPr>
                <w:sz w:val="22"/>
              </w:rPr>
              <w:t>, including the setting and enforcement of Faculty conditions and/ or recommendations.</w:t>
            </w:r>
          </w:p>
        </w:tc>
      </w:tr>
      <w:tr w:rsidR="00AC416A" w:rsidRPr="00327090" w14:paraId="7F1D961B"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184C52D1"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4311DA1E"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c)</w:t>
            </w:r>
          </w:p>
        </w:tc>
        <w:tc>
          <w:tcPr>
            <w:tcW w:w="7320" w:type="dxa"/>
          </w:tcPr>
          <w:p w14:paraId="1EE98199" w14:textId="4FEAE9C0"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Faculty approval of new modules and the re-approval of existing modules.</w:t>
            </w:r>
          </w:p>
        </w:tc>
      </w:tr>
      <w:tr w:rsidR="00AC416A" w:rsidRPr="00327090" w14:paraId="3474B949"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D148D9C"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088960A2"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d)</w:t>
            </w:r>
          </w:p>
        </w:tc>
        <w:tc>
          <w:tcPr>
            <w:tcW w:w="7320" w:type="dxa"/>
          </w:tcPr>
          <w:p w14:paraId="194CDADB" w14:textId="77777777"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Faculty approval of minor modifications to existing modules or awards.</w:t>
            </w:r>
          </w:p>
        </w:tc>
      </w:tr>
      <w:tr w:rsidR="00AC416A" w:rsidRPr="00327090" w14:paraId="6DBE78FC"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7CF4E20F"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599150A9"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e)</w:t>
            </w:r>
          </w:p>
        </w:tc>
        <w:tc>
          <w:tcPr>
            <w:tcW w:w="7320" w:type="dxa"/>
          </w:tcPr>
          <w:p w14:paraId="36D03CEF" w14:textId="77777777"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Faculty process for monitoring minor programme modifications to ensure that the credit threshold for such modifications is observed.</w:t>
            </w:r>
          </w:p>
        </w:tc>
      </w:tr>
      <w:tr w:rsidR="00A86026" w:rsidRPr="00327090" w14:paraId="02E648B7"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490D31F"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3002520"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f)</w:t>
            </w:r>
          </w:p>
        </w:tc>
        <w:tc>
          <w:tcPr>
            <w:tcW w:w="7320" w:type="dxa"/>
          </w:tcPr>
          <w:p w14:paraId="179D26CD" w14:textId="4C5C5E84" w:rsidR="00A86026" w:rsidRPr="00327090" w:rsidRDefault="00A86026"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 xml:space="preserve">Faculty approval of the addition of </w:t>
            </w:r>
            <w:r w:rsidR="001A7852" w:rsidRPr="00327090">
              <w:rPr>
                <w:rFonts w:cs="Calibri"/>
                <w:sz w:val="22"/>
                <w:lang w:eastAsia="en-GB"/>
              </w:rPr>
              <w:t xml:space="preserve">STEM, </w:t>
            </w:r>
            <w:r w:rsidRPr="00327090">
              <w:rPr>
                <w:rFonts w:cs="Calibri"/>
                <w:sz w:val="22"/>
                <w:lang w:eastAsia="en-GB"/>
              </w:rPr>
              <w:t>Sandwich and Year Abroad routes to existing validated undergraduate degrees.</w:t>
            </w:r>
          </w:p>
        </w:tc>
      </w:tr>
      <w:tr w:rsidR="00A86026" w:rsidRPr="00327090" w14:paraId="3CB29713"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57803779"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CDCF021"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g)</w:t>
            </w:r>
          </w:p>
        </w:tc>
        <w:tc>
          <w:tcPr>
            <w:tcW w:w="7320" w:type="dxa"/>
          </w:tcPr>
          <w:p w14:paraId="72F5044B" w14:textId="77777777" w:rsidR="00A86026" w:rsidRPr="00327090" w:rsidRDefault="00A86026" w:rsidP="00760CA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cs="Calibri"/>
                <w:sz w:val="22"/>
                <w:lang w:eastAsia="en-GB"/>
              </w:rPr>
            </w:pPr>
            <w:r w:rsidRPr="00327090">
              <w:rPr>
                <w:rFonts w:cs="Calibri"/>
                <w:sz w:val="22"/>
                <w:lang w:eastAsia="en-GB"/>
              </w:rPr>
              <w:t>Faculty approval of new joint honours and major/ minor combinations where the contributing single honours programmes are already in validation.</w:t>
            </w:r>
          </w:p>
        </w:tc>
      </w:tr>
      <w:tr w:rsidR="00A86026" w:rsidRPr="00327090" w14:paraId="29A0A0FA"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A5A880C"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E220D86"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h)</w:t>
            </w:r>
          </w:p>
        </w:tc>
        <w:tc>
          <w:tcPr>
            <w:tcW w:w="7320" w:type="dxa"/>
          </w:tcPr>
          <w:p w14:paraId="2B6DAD5D" w14:textId="77777777" w:rsidR="00A86026" w:rsidRPr="00327090" w:rsidRDefault="00A86026"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(Other than via programme boards) How students are engaged in the planning and development of new, and the modification of existing, programmes.</w:t>
            </w:r>
          </w:p>
        </w:tc>
      </w:tr>
      <w:tr w:rsidR="00A86026" w:rsidRPr="00327090" w14:paraId="5014F134"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124C68A5"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185742E8"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roofErr w:type="spellStart"/>
            <w:r w:rsidRPr="00327090">
              <w:rPr>
                <w:rFonts w:ascii="Calibri" w:hAnsi="Calibri" w:cs="Calibri"/>
                <w:sz w:val="22"/>
              </w:rPr>
              <w:t>i</w:t>
            </w:r>
            <w:proofErr w:type="spellEnd"/>
            <w:r w:rsidRPr="00327090">
              <w:rPr>
                <w:rFonts w:ascii="Calibri" w:hAnsi="Calibri" w:cs="Calibri"/>
                <w:sz w:val="22"/>
              </w:rPr>
              <w:t>)</w:t>
            </w:r>
          </w:p>
        </w:tc>
        <w:tc>
          <w:tcPr>
            <w:tcW w:w="7320" w:type="dxa"/>
          </w:tcPr>
          <w:p w14:paraId="66AE8443" w14:textId="57CB3CC9" w:rsidR="00A86026" w:rsidRPr="00327090" w:rsidRDefault="00A86026" w:rsidP="00760CA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cs="Calibri"/>
                <w:sz w:val="22"/>
                <w:lang w:eastAsia="en-GB"/>
              </w:rPr>
            </w:pPr>
            <w:r w:rsidRPr="00327090">
              <w:rPr>
                <w:rFonts w:cs="Calibri"/>
                <w:sz w:val="22"/>
                <w:lang w:eastAsia="en-GB"/>
              </w:rPr>
              <w:t xml:space="preserve">Arrangements for </w:t>
            </w:r>
            <w:r w:rsidR="002A7E33" w:rsidRPr="00327090">
              <w:rPr>
                <w:rFonts w:cs="Calibri"/>
                <w:sz w:val="22"/>
                <w:lang w:eastAsia="en-GB"/>
              </w:rPr>
              <w:t>the</w:t>
            </w:r>
            <w:r w:rsidRPr="00327090">
              <w:rPr>
                <w:rFonts w:cs="Calibri"/>
                <w:sz w:val="22"/>
                <w:lang w:eastAsia="en-GB"/>
              </w:rPr>
              <w:t xml:space="preserve"> review of programmes that have not recruited for two successive years prior to enrolment of students re‐commencing.</w:t>
            </w:r>
          </w:p>
        </w:tc>
      </w:tr>
      <w:tr w:rsidR="00A86026" w:rsidRPr="00327090" w14:paraId="76EC4B7E"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E764330"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29FC6679"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j)</w:t>
            </w:r>
          </w:p>
        </w:tc>
        <w:tc>
          <w:tcPr>
            <w:tcW w:w="7320" w:type="dxa"/>
          </w:tcPr>
          <w:p w14:paraId="52F40839" w14:textId="168230A3" w:rsidR="00A86026" w:rsidRPr="00327090" w:rsidRDefault="002A7E33"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The</w:t>
            </w:r>
            <w:r w:rsidR="00A86026" w:rsidRPr="00327090">
              <w:rPr>
                <w:rFonts w:cs="Calibri"/>
                <w:sz w:val="22"/>
                <w:lang w:eastAsia="en-GB"/>
              </w:rPr>
              <w:t xml:space="preserve"> process for approving non‐credit bearing provision.</w:t>
            </w:r>
          </w:p>
        </w:tc>
      </w:tr>
      <w:tr w:rsidR="00A86026" w:rsidRPr="00327090" w14:paraId="64BF59FA"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62192A57"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7A7A3853"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k)</w:t>
            </w:r>
          </w:p>
        </w:tc>
        <w:tc>
          <w:tcPr>
            <w:tcW w:w="7320" w:type="dxa"/>
          </w:tcPr>
          <w:p w14:paraId="3DCFB77F" w14:textId="77777777"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lang w:eastAsia="en-GB"/>
              </w:rPr>
              <w:t>Approval of requests for module-sharing from other Faculties.</w:t>
            </w:r>
          </w:p>
        </w:tc>
      </w:tr>
      <w:tr w:rsidR="00A86026" w:rsidRPr="00327090" w14:paraId="6216260A"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BEBB9AB"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3D3E9389"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l)</w:t>
            </w:r>
          </w:p>
        </w:tc>
        <w:tc>
          <w:tcPr>
            <w:tcW w:w="7320" w:type="dxa"/>
          </w:tcPr>
          <w:p w14:paraId="24AED460" w14:textId="4632680B"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GB"/>
              </w:rPr>
            </w:pPr>
            <w:r w:rsidRPr="00327090">
              <w:rPr>
                <w:rFonts w:ascii="Calibri" w:hAnsi="Calibri" w:cs="Calibri"/>
                <w:sz w:val="22"/>
                <w:lang w:eastAsia="en-GB"/>
              </w:rPr>
              <w:t xml:space="preserve">The process by which changes of </w:t>
            </w:r>
            <w:r w:rsidR="00D458F5" w:rsidRPr="00327090">
              <w:rPr>
                <w:rFonts w:ascii="Calibri" w:hAnsi="Calibri" w:cs="Calibri"/>
                <w:sz w:val="22"/>
                <w:lang w:eastAsia="en-GB"/>
              </w:rPr>
              <w:t>(</w:t>
            </w:r>
            <w:r w:rsidRPr="00327090">
              <w:rPr>
                <w:rFonts w:ascii="Calibri" w:hAnsi="Calibri" w:cs="Calibri"/>
                <w:sz w:val="22"/>
                <w:lang w:eastAsia="en-GB"/>
              </w:rPr>
              <w:t>and to</w:t>
            </w:r>
            <w:r w:rsidR="00D458F5" w:rsidRPr="00327090">
              <w:rPr>
                <w:rFonts w:ascii="Calibri" w:hAnsi="Calibri" w:cs="Calibri"/>
                <w:sz w:val="22"/>
                <w:lang w:eastAsia="en-GB"/>
              </w:rPr>
              <w:t>)</w:t>
            </w:r>
            <w:r w:rsidRPr="00327090">
              <w:rPr>
                <w:rFonts w:ascii="Calibri" w:hAnsi="Calibri" w:cs="Calibri"/>
                <w:sz w:val="22"/>
                <w:lang w:eastAsia="en-GB"/>
              </w:rPr>
              <w:t xml:space="preserve"> modules are notified to all affected programmes including those hosted outside the home department and/or Faculty.</w:t>
            </w:r>
          </w:p>
        </w:tc>
      </w:tr>
      <w:tr w:rsidR="00A86026" w:rsidRPr="00327090" w14:paraId="0B3D45B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06BE2C32" w14:textId="77777777" w:rsidR="00A86026" w:rsidRPr="00327090" w:rsidRDefault="00A86026" w:rsidP="00807BFA">
            <w:pPr>
              <w:contextualSpacing/>
              <w:jc w:val="center"/>
              <w:rPr>
                <w:rFonts w:cs="Calibri"/>
                <w:b w:val="0"/>
                <w:bCs w:val="0"/>
                <w:sz w:val="22"/>
              </w:rPr>
            </w:pPr>
            <w:r w:rsidRPr="00327090">
              <w:rPr>
                <w:rFonts w:cs="Calibri"/>
                <w:b w:val="0"/>
                <w:bCs w:val="0"/>
                <w:sz w:val="22"/>
              </w:rPr>
              <w:t>5</w:t>
            </w:r>
          </w:p>
        </w:tc>
        <w:tc>
          <w:tcPr>
            <w:tcW w:w="682" w:type="dxa"/>
          </w:tcPr>
          <w:p w14:paraId="48B2367B"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77E0EEFD" w14:textId="1C8EC339"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lang w:eastAsia="en-GB"/>
              </w:rPr>
            </w:pPr>
            <w:r w:rsidRPr="00327090">
              <w:rPr>
                <w:rFonts w:ascii="Calibri" w:hAnsi="Calibri" w:cs="Calibri"/>
                <w:sz w:val="22"/>
              </w:rPr>
              <w:t>Faculty approval</w:t>
            </w:r>
            <w:r w:rsidR="00BD5334" w:rsidRPr="00327090">
              <w:rPr>
                <w:rFonts w:ascii="Calibri" w:hAnsi="Calibri" w:cs="Calibri"/>
                <w:sz w:val="22"/>
              </w:rPr>
              <w:t>,</w:t>
            </w:r>
            <w:r w:rsidRPr="00327090">
              <w:rPr>
                <w:rFonts w:ascii="Calibri" w:hAnsi="Calibri" w:cs="Calibri"/>
                <w:sz w:val="22"/>
              </w:rPr>
              <w:t xml:space="preserve"> monitoring </w:t>
            </w:r>
            <w:r w:rsidR="00BD5334" w:rsidRPr="00327090">
              <w:rPr>
                <w:rFonts w:ascii="Calibri" w:hAnsi="Calibri" w:cs="Calibri"/>
                <w:sz w:val="22"/>
              </w:rPr>
              <w:t xml:space="preserve">and closure </w:t>
            </w:r>
            <w:r w:rsidRPr="00327090">
              <w:rPr>
                <w:rFonts w:ascii="Calibri" w:hAnsi="Calibri" w:cs="Calibri"/>
                <w:sz w:val="22"/>
              </w:rPr>
              <w:t xml:space="preserve">of placements and student exchanges (Category ‘A’ academic partnerships) and the </w:t>
            </w:r>
            <w:proofErr w:type="gramStart"/>
            <w:r w:rsidRPr="00327090">
              <w:rPr>
                <w:rFonts w:ascii="Calibri" w:hAnsi="Calibri" w:cs="Calibri"/>
                <w:sz w:val="22"/>
              </w:rPr>
              <w:t>Faculty</w:t>
            </w:r>
            <w:proofErr w:type="gramEnd"/>
            <w:r w:rsidRPr="00327090">
              <w:rPr>
                <w:rFonts w:ascii="Calibri" w:hAnsi="Calibri" w:cs="Calibri"/>
                <w:sz w:val="22"/>
              </w:rPr>
              <w:t xml:space="preserve"> processes that support them.</w:t>
            </w:r>
          </w:p>
        </w:tc>
      </w:tr>
      <w:tr w:rsidR="00A86026" w:rsidRPr="00327090" w14:paraId="2F5F9FB1"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8A937CE" w14:textId="77777777" w:rsidR="00A86026" w:rsidRPr="00327090" w:rsidRDefault="00A86026" w:rsidP="00807BFA">
            <w:pPr>
              <w:contextualSpacing/>
              <w:jc w:val="center"/>
              <w:rPr>
                <w:rFonts w:cs="Calibri"/>
                <w:b w:val="0"/>
                <w:bCs w:val="0"/>
                <w:sz w:val="22"/>
              </w:rPr>
            </w:pPr>
            <w:r w:rsidRPr="00327090">
              <w:rPr>
                <w:rFonts w:cs="Calibri"/>
                <w:b w:val="0"/>
                <w:bCs w:val="0"/>
                <w:sz w:val="22"/>
              </w:rPr>
              <w:t>5</w:t>
            </w:r>
          </w:p>
        </w:tc>
        <w:tc>
          <w:tcPr>
            <w:tcW w:w="682" w:type="dxa"/>
          </w:tcPr>
          <w:p w14:paraId="1ECEB301"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b)</w:t>
            </w:r>
          </w:p>
        </w:tc>
        <w:tc>
          <w:tcPr>
            <w:tcW w:w="7320" w:type="dxa"/>
          </w:tcPr>
          <w:p w14:paraId="7AB5E6AE" w14:textId="760DF571"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GB"/>
              </w:rPr>
            </w:pPr>
            <w:r w:rsidRPr="00327090">
              <w:rPr>
                <w:rFonts w:ascii="Calibri" w:hAnsi="Calibri" w:cs="Calibri"/>
                <w:sz w:val="22"/>
              </w:rPr>
              <w:t>Faculty approval</w:t>
            </w:r>
            <w:r w:rsidR="00BD5334" w:rsidRPr="00327090">
              <w:rPr>
                <w:rFonts w:ascii="Calibri" w:hAnsi="Calibri" w:cs="Calibri"/>
                <w:sz w:val="22"/>
              </w:rPr>
              <w:t>,</w:t>
            </w:r>
            <w:r w:rsidRPr="00327090">
              <w:rPr>
                <w:rFonts w:ascii="Calibri" w:hAnsi="Calibri" w:cs="Calibri"/>
                <w:sz w:val="22"/>
              </w:rPr>
              <w:t xml:space="preserve"> </w:t>
            </w:r>
            <w:proofErr w:type="gramStart"/>
            <w:r w:rsidRPr="00327090">
              <w:rPr>
                <w:rFonts w:ascii="Calibri" w:hAnsi="Calibri" w:cs="Calibri"/>
                <w:sz w:val="22"/>
              </w:rPr>
              <w:t>monitoring</w:t>
            </w:r>
            <w:proofErr w:type="gramEnd"/>
            <w:r w:rsidRPr="00327090">
              <w:rPr>
                <w:rFonts w:ascii="Calibri" w:hAnsi="Calibri" w:cs="Calibri"/>
                <w:sz w:val="22"/>
              </w:rPr>
              <w:t xml:space="preserve"> </w:t>
            </w:r>
            <w:r w:rsidR="00BD5334" w:rsidRPr="00327090">
              <w:rPr>
                <w:rFonts w:ascii="Calibri" w:hAnsi="Calibri" w:cs="Calibri"/>
                <w:sz w:val="22"/>
              </w:rPr>
              <w:t xml:space="preserve">and closure </w:t>
            </w:r>
            <w:r w:rsidRPr="00327090">
              <w:rPr>
                <w:rFonts w:ascii="Calibri" w:hAnsi="Calibri" w:cs="Calibri"/>
                <w:sz w:val="22"/>
              </w:rPr>
              <w:t>of UK‐based learning venues (Category ‘B’ academic partnership) and the process that supports them.</w:t>
            </w:r>
          </w:p>
        </w:tc>
      </w:tr>
      <w:tr w:rsidR="00A86026" w:rsidRPr="00327090" w14:paraId="012579C2"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027E1429" w14:textId="77777777" w:rsidR="00A86026" w:rsidRPr="00327090" w:rsidRDefault="00A86026" w:rsidP="00807BFA">
            <w:pPr>
              <w:contextualSpacing/>
              <w:jc w:val="center"/>
              <w:rPr>
                <w:rFonts w:cs="Calibri"/>
                <w:b w:val="0"/>
                <w:bCs w:val="0"/>
                <w:sz w:val="22"/>
              </w:rPr>
            </w:pPr>
            <w:r w:rsidRPr="00327090">
              <w:rPr>
                <w:rFonts w:cs="Calibri"/>
                <w:b w:val="0"/>
                <w:bCs w:val="0"/>
                <w:sz w:val="22"/>
              </w:rPr>
              <w:t>6</w:t>
            </w:r>
          </w:p>
        </w:tc>
        <w:tc>
          <w:tcPr>
            <w:tcW w:w="682" w:type="dxa"/>
          </w:tcPr>
          <w:p w14:paraId="39D8079E"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2FA8FE03" w14:textId="77777777"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 xml:space="preserve">The process for submission, </w:t>
            </w:r>
            <w:proofErr w:type="gramStart"/>
            <w:r w:rsidRPr="00327090">
              <w:rPr>
                <w:rFonts w:ascii="Calibri" w:hAnsi="Calibri" w:cs="Calibri"/>
                <w:sz w:val="22"/>
              </w:rPr>
              <w:t>consideration</w:t>
            </w:r>
            <w:proofErr w:type="gramEnd"/>
            <w:r w:rsidRPr="00327090">
              <w:rPr>
                <w:rFonts w:ascii="Calibri" w:hAnsi="Calibri" w:cs="Calibri"/>
                <w:sz w:val="22"/>
              </w:rPr>
              <w:t xml:space="preserve"> and approval of claims for Recognition of Prior (Experiential) Learning and how RP[E]L applicants obtain feedback.</w:t>
            </w:r>
          </w:p>
        </w:tc>
      </w:tr>
      <w:tr w:rsidR="00A86026" w:rsidRPr="00327090" w14:paraId="217D952C"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5BCB197" w14:textId="77777777" w:rsidR="00A86026" w:rsidRPr="00327090" w:rsidRDefault="00A86026" w:rsidP="00807BFA">
            <w:pPr>
              <w:contextualSpacing/>
              <w:jc w:val="center"/>
              <w:rPr>
                <w:rFonts w:cs="Calibri"/>
                <w:b w:val="0"/>
                <w:bCs w:val="0"/>
                <w:sz w:val="22"/>
              </w:rPr>
            </w:pPr>
            <w:r w:rsidRPr="00327090">
              <w:rPr>
                <w:rFonts w:cs="Calibri"/>
                <w:b w:val="0"/>
                <w:bCs w:val="0"/>
                <w:sz w:val="22"/>
              </w:rPr>
              <w:t>7</w:t>
            </w:r>
          </w:p>
        </w:tc>
        <w:tc>
          <w:tcPr>
            <w:tcW w:w="682" w:type="dxa"/>
          </w:tcPr>
          <w:p w14:paraId="02F5A47C"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24B3D19F" w14:textId="77777777"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Faculty process for approving Student‐Initiated Credit.</w:t>
            </w:r>
          </w:p>
        </w:tc>
      </w:tr>
      <w:tr w:rsidR="00A86026" w:rsidRPr="00327090" w14:paraId="25493C7D"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69D087FE" w14:textId="77777777" w:rsidR="00A86026" w:rsidRPr="00327090" w:rsidRDefault="00A86026" w:rsidP="00807BFA">
            <w:pPr>
              <w:contextualSpacing/>
              <w:jc w:val="center"/>
              <w:rPr>
                <w:rFonts w:cs="Calibri"/>
                <w:b w:val="0"/>
                <w:bCs w:val="0"/>
                <w:sz w:val="22"/>
              </w:rPr>
            </w:pPr>
            <w:r w:rsidRPr="00327090">
              <w:rPr>
                <w:rFonts w:cs="Calibri"/>
                <w:b w:val="0"/>
                <w:bCs w:val="0"/>
                <w:sz w:val="22"/>
              </w:rPr>
              <w:t>-</w:t>
            </w:r>
          </w:p>
        </w:tc>
        <w:tc>
          <w:tcPr>
            <w:tcW w:w="682" w:type="dxa"/>
          </w:tcPr>
          <w:p w14:paraId="7FFE1D02"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w:t>
            </w:r>
          </w:p>
        </w:tc>
        <w:tc>
          <w:tcPr>
            <w:tcW w:w="7320" w:type="dxa"/>
          </w:tcPr>
          <w:p w14:paraId="52ABD64D" w14:textId="76E53436"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 xml:space="preserve">How the Faculty </w:t>
            </w:r>
            <w:r w:rsidR="00576A6B" w:rsidRPr="00327090">
              <w:rPr>
                <w:rFonts w:ascii="Calibri" w:hAnsi="Calibri" w:cs="Calibri"/>
                <w:sz w:val="22"/>
              </w:rPr>
              <w:t xml:space="preserve">periodically reviews and evaluates its quality assurance </w:t>
            </w:r>
            <w:r w:rsidRPr="00327090">
              <w:rPr>
                <w:rFonts w:ascii="Calibri" w:hAnsi="Calibri" w:cs="Calibri"/>
                <w:sz w:val="22"/>
              </w:rPr>
              <w:t>processes</w:t>
            </w:r>
            <w:r w:rsidR="003B02B4" w:rsidRPr="00327090">
              <w:rPr>
                <w:rFonts w:ascii="Calibri" w:hAnsi="Calibri" w:cs="Calibri"/>
                <w:sz w:val="22"/>
              </w:rPr>
              <w:t xml:space="preserve"> in </w:t>
            </w:r>
            <w:r w:rsidR="00EF3125" w:rsidRPr="00327090">
              <w:rPr>
                <w:rFonts w:ascii="Calibri" w:hAnsi="Calibri" w:cs="Calibri"/>
                <w:sz w:val="22"/>
              </w:rPr>
              <w:t>the context of</w:t>
            </w:r>
            <w:r w:rsidR="003B02B4" w:rsidRPr="00327090">
              <w:rPr>
                <w:rFonts w:ascii="Calibri" w:hAnsi="Calibri" w:cs="Calibri"/>
                <w:sz w:val="22"/>
              </w:rPr>
              <w:t xml:space="preserve"> the Institution’s Quality Management Strategy</w:t>
            </w:r>
            <w:r w:rsidRPr="00327090">
              <w:rPr>
                <w:rFonts w:ascii="Calibri" w:hAnsi="Calibri" w:cs="Calibri"/>
                <w:sz w:val="22"/>
              </w:rPr>
              <w:t>.</w:t>
            </w:r>
          </w:p>
        </w:tc>
      </w:tr>
    </w:tbl>
    <w:p w14:paraId="4B14729A" w14:textId="77777777" w:rsidR="00576A6B" w:rsidRDefault="00576A6B" w:rsidP="00D80A74"/>
    <w:p w14:paraId="1242D67B" w14:textId="77777777" w:rsidR="00D971DB" w:rsidRDefault="00D80A74" w:rsidP="0074023B">
      <w:pPr>
        <w:contextualSpacing/>
        <w:jc w:val="both"/>
      </w:pPr>
      <w:r w:rsidRPr="00D80A74">
        <w:t xml:space="preserve">Faculties are responsible for determining the precise format of their </w:t>
      </w:r>
      <w:r w:rsidR="005C5F68">
        <w:t>Q</w:t>
      </w:r>
      <w:r w:rsidRPr="00D80A74">
        <w:t xml:space="preserve">uality </w:t>
      </w:r>
      <w:r w:rsidR="005C5F68">
        <w:t>S</w:t>
      </w:r>
      <w:r w:rsidRPr="00D80A74">
        <w:t>tatements</w:t>
      </w:r>
      <w:r w:rsidR="00394215">
        <w:t>, however</w:t>
      </w:r>
      <w:r w:rsidRPr="00D80A74">
        <w:t xml:space="preserve"> they should</w:t>
      </w:r>
      <w:r w:rsidR="00EF3125">
        <w:t>,</w:t>
      </w:r>
      <w:r w:rsidRPr="00D80A74">
        <w:t xml:space="preserve"> </w:t>
      </w:r>
      <w:r w:rsidRPr="00EF3125">
        <w:rPr>
          <w:b/>
          <w:bCs/>
        </w:rPr>
        <w:t>as a minimum</w:t>
      </w:r>
      <w:r w:rsidR="00EF3125">
        <w:t>,</w:t>
      </w:r>
      <w:r w:rsidRPr="00D80A74">
        <w:t xml:space="preserve"> contain</w:t>
      </w:r>
      <w:r w:rsidR="00D971DB">
        <w:t>:</w:t>
      </w:r>
    </w:p>
    <w:p w14:paraId="36AEB288" w14:textId="14B334F9" w:rsidR="0074023B" w:rsidRDefault="00D971DB" w:rsidP="00D971DB">
      <w:pPr>
        <w:pStyle w:val="ListParagraph"/>
        <w:numPr>
          <w:ilvl w:val="0"/>
          <w:numId w:val="30"/>
        </w:numPr>
        <w:jc w:val="both"/>
      </w:pPr>
      <w:r>
        <w:t>A</w:t>
      </w:r>
      <w:r w:rsidR="00D80A74" w:rsidRPr="00D80A74">
        <w:t xml:space="preserve"> brief description of processes </w:t>
      </w:r>
      <w:r w:rsidR="00760CA1">
        <w:t xml:space="preserve">used </w:t>
      </w:r>
      <w:r w:rsidR="00D80A74" w:rsidRPr="00D80A74">
        <w:t xml:space="preserve">for </w:t>
      </w:r>
      <w:r>
        <w:t xml:space="preserve">each of </w:t>
      </w:r>
      <w:r w:rsidR="00D80A74" w:rsidRPr="00D80A74">
        <w:t xml:space="preserve">the above </w:t>
      </w:r>
      <w:r w:rsidR="005C5F68">
        <w:t>responsibilities</w:t>
      </w:r>
      <w:r w:rsidR="0074023B">
        <w:t>,</w:t>
      </w:r>
      <w:r w:rsidR="005C5F68">
        <w:t xml:space="preserve"> </w:t>
      </w:r>
      <w:r>
        <w:t>including</w:t>
      </w:r>
      <w:r w:rsidR="00D80A74" w:rsidRPr="00D80A74">
        <w:t xml:space="preserve"> reporting lines and timescales where appropriate. </w:t>
      </w:r>
    </w:p>
    <w:p w14:paraId="4C8A34F0" w14:textId="0FB71375" w:rsidR="0074023B" w:rsidRDefault="00D971DB" w:rsidP="00D51E4A">
      <w:pPr>
        <w:pStyle w:val="ListParagraph"/>
        <w:numPr>
          <w:ilvl w:val="0"/>
          <w:numId w:val="30"/>
        </w:numPr>
        <w:jc w:val="both"/>
      </w:pPr>
      <w:r>
        <w:t>H</w:t>
      </w:r>
      <w:r w:rsidRPr="00D80A74">
        <w:t xml:space="preserve">ighlighted </w:t>
      </w:r>
      <w:r>
        <w:t>sections to denote w</w:t>
      </w:r>
      <w:r w:rsidRPr="00D80A74">
        <w:t xml:space="preserve">here processes have changed since </w:t>
      </w:r>
      <w:r>
        <w:t xml:space="preserve">the </w:t>
      </w:r>
      <w:r w:rsidRPr="00D80A74">
        <w:t xml:space="preserve">previous </w:t>
      </w:r>
      <w:r>
        <w:t>S</w:t>
      </w:r>
      <w:r w:rsidRPr="00D80A74">
        <w:t xml:space="preserve">tatement, </w:t>
      </w:r>
      <w:r>
        <w:t xml:space="preserve">along with </w:t>
      </w:r>
      <w:r w:rsidRPr="00D80A74">
        <w:t>a brief explanation of the change</w:t>
      </w:r>
      <w:r>
        <w:t>.</w:t>
      </w:r>
    </w:p>
    <w:p w14:paraId="68342C6E" w14:textId="05C100C2" w:rsidR="00832090" w:rsidRDefault="00D33DA3" w:rsidP="00BF5699">
      <w:pPr>
        <w:contextualSpacing/>
        <w:jc w:val="both"/>
      </w:pPr>
      <w:r>
        <w:t>Faculty Academic Quality Statement</w:t>
      </w:r>
      <w:r w:rsidR="00D80A74" w:rsidRPr="00D80A74">
        <w:t>s are approved by Faculty Boards</w:t>
      </w:r>
      <w:r w:rsidR="003E59BF">
        <w:t xml:space="preserve"> or delegated Faculty Board committee, </w:t>
      </w:r>
      <w:r w:rsidR="00D80A74" w:rsidRPr="00D80A74">
        <w:t>prior to their receipt by AQEC</w:t>
      </w:r>
      <w:r w:rsidR="00832090">
        <w:t>.</w:t>
      </w:r>
    </w:p>
    <w:p w14:paraId="06991604" w14:textId="77777777" w:rsidR="00BF5699" w:rsidRPr="00D80A74" w:rsidRDefault="00BF5699" w:rsidP="00BF5699">
      <w:pPr>
        <w:contextualSpacing/>
        <w:jc w:val="both"/>
      </w:pPr>
    </w:p>
    <w:p w14:paraId="73F8F313" w14:textId="5340DF13" w:rsidR="00D80A74" w:rsidRPr="00D80A74" w:rsidRDefault="00D80A74" w:rsidP="00BF5699">
      <w:pPr>
        <w:contextualSpacing/>
        <w:jc w:val="both"/>
      </w:pPr>
      <w:r w:rsidRPr="00D80A74">
        <w:t xml:space="preserve">All academic programmes must be hosted by a </w:t>
      </w:r>
      <w:proofErr w:type="gramStart"/>
      <w:r w:rsidRPr="00D80A74">
        <w:t>Faculty</w:t>
      </w:r>
      <w:proofErr w:type="gramEnd"/>
      <w:r w:rsidRPr="00D80A74">
        <w:t xml:space="preserve"> for </w:t>
      </w:r>
      <w:r w:rsidR="005B3715">
        <w:t xml:space="preserve">the purpose of </w:t>
      </w:r>
      <w:r w:rsidRPr="00D80A74">
        <w:t xml:space="preserve">quality assurance </w:t>
      </w:r>
      <w:r w:rsidR="005B3715">
        <w:t>and the management of assessment; f</w:t>
      </w:r>
      <w:r w:rsidRPr="00D80A74">
        <w:t>or this reason</w:t>
      </w:r>
      <w:r w:rsidR="005B3715">
        <w:t>,</w:t>
      </w:r>
      <w:r w:rsidRPr="00D80A74">
        <w:t xml:space="preserve"> AQEC will occasionally assign quality management responsibilities to Faculties for programmes delivered out</w:t>
      </w:r>
      <w:r w:rsidR="005B3715">
        <w:t>side</w:t>
      </w:r>
      <w:r w:rsidRPr="00D80A74">
        <w:t xml:space="preserve"> their </w:t>
      </w:r>
      <w:r w:rsidR="005B3715">
        <w:t>own</w:t>
      </w:r>
      <w:r w:rsidRPr="00D80A74">
        <w:t xml:space="preserve"> </w:t>
      </w:r>
      <w:r w:rsidR="00615064">
        <w:t xml:space="preserve">departmental </w:t>
      </w:r>
      <w:r w:rsidRPr="00D80A74">
        <w:t>structures</w:t>
      </w:r>
      <w:r w:rsidR="00F41BD9">
        <w:rPr>
          <w:rStyle w:val="FootnoteReference"/>
        </w:rPr>
        <w:footnoteReference w:id="12"/>
      </w:r>
      <w:r w:rsidRPr="00D80A74">
        <w:t xml:space="preserve">. This typically entails those programmes being subject to Faculty processes for programme and module approval and modification; monitoring and review, including external examining; and the operation of programme and assessment boards including RP[E]L approval panels. </w:t>
      </w:r>
      <w:r w:rsidR="007833C8">
        <w:t>Such p</w:t>
      </w:r>
      <w:r w:rsidR="00D20638">
        <w:t>rogramme teams</w:t>
      </w:r>
      <w:r w:rsidR="007833C8">
        <w:t xml:space="preserve"> </w:t>
      </w:r>
      <w:r w:rsidR="00B55DAA">
        <w:t>ar</w:t>
      </w:r>
      <w:r w:rsidR="007833C8">
        <w:t xml:space="preserve">e responsible for </w:t>
      </w:r>
      <w:r w:rsidR="005901AD">
        <w:t xml:space="preserve">the </w:t>
      </w:r>
      <w:r w:rsidR="001B6938">
        <w:t xml:space="preserve">design, development and delivery of the curriculum and </w:t>
      </w:r>
      <w:r w:rsidR="00B55DAA">
        <w:t xml:space="preserve">for </w:t>
      </w:r>
      <w:r w:rsidRPr="00D80A74">
        <w:t>operational arrangements for activities such as student enrolment and induction; student support, including personal tutoring, Personal Development Planning and student academic progress reviews; marking and internal moderation; managing extensions, extenuating mitigating circumstances and interruptions of study; and the operation of Student-Staff Consultative Fora and managing student feedback including complaints</w:t>
      </w:r>
      <w:r w:rsidR="00615064">
        <w:t xml:space="preserve">. </w:t>
      </w:r>
      <w:r w:rsidR="005C5F68">
        <w:t>However, t</w:t>
      </w:r>
      <w:r w:rsidR="00615064">
        <w:t>his is wholly dependent on such local arrangements being</w:t>
      </w:r>
      <w:r w:rsidRPr="00D80A74">
        <w:t>:</w:t>
      </w:r>
    </w:p>
    <w:p w14:paraId="578A1197" w14:textId="7B4CF921" w:rsidR="00A42501" w:rsidRDefault="00615064" w:rsidP="00BF5699">
      <w:pPr>
        <w:pStyle w:val="ListParagraph"/>
        <w:numPr>
          <w:ilvl w:val="0"/>
          <w:numId w:val="31"/>
        </w:numPr>
        <w:jc w:val="both"/>
      </w:pPr>
      <w:r>
        <w:t>fully</w:t>
      </w:r>
      <w:r w:rsidR="00D80A74" w:rsidRPr="00D80A74">
        <w:t xml:space="preserve"> consistent with </w:t>
      </w:r>
      <w:proofErr w:type="gramStart"/>
      <w:r w:rsidR="00D80A74" w:rsidRPr="00D80A74">
        <w:t>University</w:t>
      </w:r>
      <w:proofErr w:type="gramEnd"/>
      <w:r w:rsidR="00D80A74" w:rsidRPr="00D80A74">
        <w:t xml:space="preserve"> policies and regulations;</w:t>
      </w:r>
      <w:r w:rsidR="00386404" w:rsidRPr="00386404">
        <w:t xml:space="preserve"> </w:t>
      </w:r>
      <w:r w:rsidR="00386404" w:rsidRPr="00D80A74">
        <w:t>and</w:t>
      </w:r>
      <w:r w:rsidR="00386404">
        <w:t>,</w:t>
      </w:r>
    </w:p>
    <w:p w14:paraId="130E723E" w14:textId="1BA24AA4" w:rsidR="00386404" w:rsidRPr="00D80A74" w:rsidRDefault="00D80A74" w:rsidP="00386404">
      <w:pPr>
        <w:pStyle w:val="ListParagraph"/>
        <w:numPr>
          <w:ilvl w:val="0"/>
          <w:numId w:val="31"/>
        </w:numPr>
        <w:jc w:val="both"/>
      </w:pPr>
      <w:r w:rsidRPr="00D80A74">
        <w:t xml:space="preserve">notified to the responsible Faculty at the beginning of </w:t>
      </w:r>
      <w:r w:rsidR="005C4787">
        <w:t>each</w:t>
      </w:r>
      <w:r w:rsidRPr="00D80A74">
        <w:t xml:space="preserve"> academic year, typically through receipt of the </w:t>
      </w:r>
      <w:r w:rsidR="00F11A23">
        <w:t>latest</w:t>
      </w:r>
      <w:r w:rsidRPr="00D80A74">
        <w:t xml:space="preserve"> Programme Handbook</w:t>
      </w:r>
      <w:r w:rsidR="00E56A05">
        <w:t>.</w:t>
      </w:r>
    </w:p>
    <w:sectPr w:rsidR="00386404" w:rsidRPr="00D80A74" w:rsidSect="00232504">
      <w:headerReference w:type="default" r:id="rId32"/>
      <w:footerReference w:type="default" r:id="rId33"/>
      <w:headerReference w:type="first" r:id="rId34"/>
      <w:footerReference w:type="first" r:id="rId3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8F69" w14:textId="77777777" w:rsidR="004C6873" w:rsidRDefault="004C6873" w:rsidP="00840176">
      <w:pPr>
        <w:spacing w:after="0"/>
      </w:pPr>
      <w:r>
        <w:separator/>
      </w:r>
    </w:p>
  </w:endnote>
  <w:endnote w:type="continuationSeparator" w:id="0">
    <w:p w14:paraId="5121F4E2" w14:textId="77777777" w:rsidR="004C6873" w:rsidRDefault="004C6873" w:rsidP="00840176">
      <w:pPr>
        <w:spacing w:after="0"/>
      </w:pPr>
      <w:r>
        <w:continuationSeparator/>
      </w:r>
    </w:p>
  </w:endnote>
  <w:endnote w:type="continuationNotice" w:id="1">
    <w:p w14:paraId="3ED7736B" w14:textId="77777777" w:rsidR="004C6873" w:rsidRDefault="004C6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2DB9" w14:textId="77777777" w:rsidR="004E0820" w:rsidRDefault="004E0820"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4532F689" w14:textId="77777777" w:rsidR="004E0820" w:rsidRPr="007063EB" w:rsidRDefault="004E0820" w:rsidP="007063EB">
    <w:pPr>
      <w:spacing w:after="0"/>
      <w:rPr>
        <w:sz w:val="20"/>
      </w:rPr>
    </w:pPr>
    <w:r w:rsidRPr="007063EB">
      <w:rPr>
        <w:sz w:val="20"/>
      </w:rPr>
      <w:t>Edge Hill University Quality Management Handbook</w:t>
    </w:r>
  </w:p>
  <w:p w14:paraId="4F28C7ED" w14:textId="0A0972CA" w:rsidR="004E0820" w:rsidRPr="007063EB" w:rsidRDefault="004E0820" w:rsidP="007063EB">
    <w:pPr>
      <w:spacing w:after="0"/>
      <w:rPr>
        <w:sz w:val="20"/>
      </w:rPr>
    </w:pPr>
    <w:r w:rsidRPr="007063EB">
      <w:rPr>
        <w:sz w:val="20"/>
      </w:rPr>
      <w:t>Chapter 1</w:t>
    </w:r>
    <w:r>
      <w:rPr>
        <w:sz w:val="20"/>
      </w:rPr>
      <w:t xml:space="preserve"> The Quality Strategy: Management of Quality and Standards </w:t>
    </w:r>
    <w:r w:rsidRPr="007063EB">
      <w:rPr>
        <w:sz w:val="20"/>
      </w:rPr>
      <w:t xml:space="preserve"> </w:t>
    </w:r>
  </w:p>
  <w:p w14:paraId="6A8AA6FC" w14:textId="46A5DCB0" w:rsidR="004E0820" w:rsidRPr="007063EB" w:rsidRDefault="004E0820" w:rsidP="007063EB">
    <w:pPr>
      <w:spacing w:after="0"/>
      <w:rPr>
        <w:sz w:val="20"/>
      </w:rPr>
    </w:pPr>
    <w:r>
      <w:rPr>
        <w:sz w:val="20"/>
      </w:rPr>
      <w:t xml:space="preserve">Institutional </w:t>
    </w:r>
    <w:r w:rsidRPr="007063EB">
      <w:rPr>
        <w:sz w:val="20"/>
      </w:rPr>
      <w:t>contact</w:t>
    </w:r>
    <w:r>
      <w:rPr>
        <w:sz w:val="20"/>
      </w:rPr>
      <w:t>: Kelly Hand</w:t>
    </w:r>
    <w:r w:rsidRPr="007063EB">
      <w:rPr>
        <w:sz w:val="20"/>
      </w:rPr>
      <w:t xml:space="preserve"> (ext. </w:t>
    </w:r>
    <w:r>
      <w:rPr>
        <w:sz w:val="20"/>
      </w:rPr>
      <w:t>7885</w:t>
    </w:r>
    <w:r w:rsidRPr="007063EB">
      <w:rPr>
        <w:sz w:val="20"/>
      </w:rPr>
      <w:t>)</w:t>
    </w:r>
  </w:p>
  <w:p w14:paraId="64351438" w14:textId="34FBDA5D" w:rsidR="004E0820" w:rsidRPr="007063EB" w:rsidRDefault="004E0820" w:rsidP="007063EB">
    <w:pPr>
      <w:spacing w:after="0"/>
      <w:rPr>
        <w:sz w:val="20"/>
      </w:rPr>
    </w:pPr>
    <w:r w:rsidRPr="007063EB">
      <w:rPr>
        <w:sz w:val="20"/>
      </w:rPr>
      <w:t>Latest version: October 20</w:t>
    </w:r>
    <w:r>
      <w:rPr>
        <w:sz w:val="20"/>
      </w:rPr>
      <w:t>2</w:t>
    </w:r>
    <w:r w:rsidR="00EA1617">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63988"/>
      <w:docPartObj>
        <w:docPartGallery w:val="Page Numbers (Bottom of Page)"/>
        <w:docPartUnique/>
      </w:docPartObj>
    </w:sdtPr>
    <w:sdtEndPr>
      <w:rPr>
        <w:noProof/>
      </w:rPr>
    </w:sdtEndPr>
    <w:sdtContent>
      <w:p w14:paraId="72FA96DE" w14:textId="07E2F5C8" w:rsidR="004E0820" w:rsidRDefault="004E08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5B8E01" w14:textId="77777777" w:rsidR="004E0820" w:rsidRPr="007063EB" w:rsidRDefault="004E0820" w:rsidP="00F360FE">
    <w:pPr>
      <w:spacing w:after="0"/>
      <w:rPr>
        <w:sz w:val="20"/>
      </w:rPr>
    </w:pPr>
    <w:r w:rsidRPr="007063EB">
      <w:rPr>
        <w:sz w:val="20"/>
      </w:rPr>
      <w:t>Edge Hill University Quality Management Handbook</w:t>
    </w:r>
  </w:p>
  <w:p w14:paraId="63639261" w14:textId="77777777" w:rsidR="004E0820" w:rsidRPr="007063EB" w:rsidRDefault="004E0820" w:rsidP="00F360FE">
    <w:pPr>
      <w:spacing w:after="0"/>
      <w:rPr>
        <w:sz w:val="20"/>
      </w:rPr>
    </w:pPr>
    <w:r w:rsidRPr="007063EB">
      <w:rPr>
        <w:sz w:val="20"/>
      </w:rPr>
      <w:t>Chapter 1</w:t>
    </w:r>
    <w:r>
      <w:rPr>
        <w:sz w:val="20"/>
      </w:rPr>
      <w:t xml:space="preserve"> The Quality Strategy: Management of Quality and Standards </w:t>
    </w:r>
    <w:r w:rsidRPr="007063EB">
      <w:rPr>
        <w:sz w:val="20"/>
      </w:rPr>
      <w:t xml:space="preserve"> </w:t>
    </w:r>
  </w:p>
  <w:p w14:paraId="7DF38128" w14:textId="677C39DF" w:rsidR="004E0820" w:rsidRPr="007063EB" w:rsidRDefault="004E0820" w:rsidP="00F360FE">
    <w:pPr>
      <w:spacing w:after="0"/>
      <w:rPr>
        <w:sz w:val="20"/>
      </w:rPr>
    </w:pPr>
    <w:r>
      <w:rPr>
        <w:sz w:val="20"/>
      </w:rPr>
      <w:t xml:space="preserve">Institutional </w:t>
    </w:r>
    <w:r w:rsidRPr="007063EB">
      <w:rPr>
        <w:sz w:val="20"/>
      </w:rPr>
      <w:t>contact: Anthony Turjansky (ext. 7167)</w:t>
    </w:r>
  </w:p>
  <w:p w14:paraId="01AEC748" w14:textId="77777777" w:rsidR="004E0820" w:rsidRPr="007063EB" w:rsidRDefault="004E0820" w:rsidP="00F360FE">
    <w:pPr>
      <w:spacing w:after="0"/>
      <w:rPr>
        <w:sz w:val="20"/>
      </w:rPr>
    </w:pPr>
    <w:r w:rsidRPr="007063EB">
      <w:rPr>
        <w:sz w:val="20"/>
      </w:rPr>
      <w:t>Latest version: October 20</w:t>
    </w:r>
    <w:r>
      <w:rPr>
        <w:sz w:val="20"/>
      </w:rPr>
      <w:t>20</w:t>
    </w:r>
  </w:p>
  <w:p w14:paraId="339A3412" w14:textId="77777777" w:rsidR="004E0820" w:rsidRDefault="004E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5D4C" w14:textId="77777777" w:rsidR="004C6873" w:rsidRDefault="004C6873" w:rsidP="00840176">
      <w:pPr>
        <w:spacing w:after="0"/>
      </w:pPr>
      <w:r>
        <w:separator/>
      </w:r>
    </w:p>
  </w:footnote>
  <w:footnote w:type="continuationSeparator" w:id="0">
    <w:p w14:paraId="73CB1A48" w14:textId="77777777" w:rsidR="004C6873" w:rsidRDefault="004C6873" w:rsidP="00840176">
      <w:pPr>
        <w:spacing w:after="0"/>
      </w:pPr>
      <w:r>
        <w:continuationSeparator/>
      </w:r>
    </w:p>
  </w:footnote>
  <w:footnote w:type="continuationNotice" w:id="1">
    <w:p w14:paraId="3D8405D2" w14:textId="77777777" w:rsidR="004C6873" w:rsidRDefault="004C6873">
      <w:pPr>
        <w:spacing w:after="0"/>
      </w:pPr>
    </w:p>
  </w:footnote>
  <w:footnote w:id="2">
    <w:p w14:paraId="04D54161" w14:textId="5BF847A6" w:rsidR="004E0820" w:rsidRDefault="004E0820" w:rsidP="00552011">
      <w:pPr>
        <w:pStyle w:val="FootnoteText"/>
      </w:pPr>
      <w:r>
        <w:rPr>
          <w:rStyle w:val="FootnoteReference"/>
        </w:rPr>
        <w:footnoteRef/>
      </w:r>
      <w:r>
        <w:t xml:space="preserve"> </w:t>
      </w:r>
      <w:r w:rsidRPr="00295A42">
        <w:rPr>
          <w:rFonts w:cs="Calibri"/>
          <w:u w:val="single"/>
        </w:rPr>
        <w:t>Note</w:t>
      </w:r>
      <w:r w:rsidRPr="00295A42">
        <w:rPr>
          <w:rFonts w:cs="Calibri"/>
        </w:rPr>
        <w:t xml:space="preserve">: Principal responsibility for the quality assurance of postgraduate research degrees including PhD, Professional Doctorate and </w:t>
      </w:r>
      <w:proofErr w:type="gramStart"/>
      <w:r w:rsidRPr="00295A42">
        <w:rPr>
          <w:rFonts w:cs="Calibri"/>
        </w:rPr>
        <w:t>Masters</w:t>
      </w:r>
      <w:proofErr w:type="gramEnd"/>
      <w:r w:rsidRPr="00295A42">
        <w:rPr>
          <w:rFonts w:cs="Calibri"/>
        </w:rPr>
        <w:t xml:space="preserve"> by Research programmes resides with </w:t>
      </w:r>
      <w:r>
        <w:rPr>
          <w:rFonts w:cs="Calibri"/>
        </w:rPr>
        <w:t xml:space="preserve">the Graduate School, with principal oversight by </w:t>
      </w:r>
      <w:r w:rsidRPr="00295A42">
        <w:rPr>
          <w:rFonts w:cs="Calibri"/>
        </w:rPr>
        <w:t>the Academic Board’s Research and Innovation Committee - see Chapters 8 &amp; 9.</w:t>
      </w:r>
    </w:p>
  </w:footnote>
  <w:footnote w:id="3">
    <w:p w14:paraId="18DEDCD8" w14:textId="77777777" w:rsidR="00DF343E" w:rsidRDefault="00DF343E" w:rsidP="00DF343E">
      <w:pPr>
        <w:pStyle w:val="FootnoteText"/>
      </w:pPr>
      <w:r>
        <w:rPr>
          <w:rStyle w:val="FootnoteReference"/>
        </w:rPr>
        <w:footnoteRef/>
      </w:r>
      <w:r>
        <w:t xml:space="preserve"> </w:t>
      </w:r>
      <w:hyperlink r:id="rId1" w:history="1">
        <w:r w:rsidRPr="00685842">
          <w:rPr>
            <w:color w:val="0000FF"/>
            <w:u w:val="single"/>
          </w:rPr>
          <w:t>Office for Students Annual Report and Accounts 2019-20</w:t>
        </w:r>
      </w:hyperlink>
      <w:r>
        <w:t>, published June 2020.</w:t>
      </w:r>
    </w:p>
  </w:footnote>
  <w:footnote w:id="4">
    <w:p w14:paraId="1937A918" w14:textId="45D2115C" w:rsidR="009C01C2" w:rsidRPr="009C01C2" w:rsidRDefault="00101280" w:rsidP="009C01C2">
      <w:pPr>
        <w:pStyle w:val="FootnoteText"/>
        <w:rPr>
          <w:b/>
          <w:bCs/>
        </w:rPr>
      </w:pPr>
      <w:r>
        <w:rPr>
          <w:rStyle w:val="FootnoteReference"/>
        </w:rPr>
        <w:footnoteRef/>
      </w:r>
      <w:r>
        <w:t xml:space="preserve"> </w:t>
      </w:r>
      <w:r w:rsidR="009C01C2">
        <w:t xml:space="preserve">Additionally, and in line with UUK’s </w:t>
      </w:r>
      <w:hyperlink r:id="rId2" w:history="1">
        <w:r w:rsidR="009C01C2" w:rsidRPr="009C01C2">
          <w:rPr>
            <w:rStyle w:val="Hyperlink"/>
          </w:rPr>
          <w:t>Framework for programme reviews: ensuring the value of courses</w:t>
        </w:r>
      </w:hyperlink>
      <w:r w:rsidR="009C01C2">
        <w:t xml:space="preserve">, the University will be publishing a statement, on its website, on </w:t>
      </w:r>
      <w:r w:rsidR="009C01C2" w:rsidRPr="009C01C2">
        <w:t xml:space="preserve">how </w:t>
      </w:r>
      <w:r w:rsidR="009C01C2">
        <w:t>it</w:t>
      </w:r>
      <w:r w:rsidR="009C01C2" w:rsidRPr="009C01C2">
        <w:t xml:space="preserve"> conducts programme review</w:t>
      </w:r>
      <w:r w:rsidR="009C01C2">
        <w:t>.</w:t>
      </w:r>
    </w:p>
    <w:p w14:paraId="0DFBF4EB" w14:textId="075EBF6F" w:rsidR="00101280" w:rsidRDefault="00101280" w:rsidP="00101280">
      <w:pPr>
        <w:pStyle w:val="FootnoteText"/>
      </w:pPr>
    </w:p>
  </w:footnote>
  <w:footnote w:id="5">
    <w:p w14:paraId="644EDC72" w14:textId="77777777" w:rsidR="004E0820" w:rsidRDefault="004E0820" w:rsidP="001141CB">
      <w:pPr>
        <w:pStyle w:val="FootnoteText"/>
      </w:pPr>
      <w:r>
        <w:rPr>
          <w:rStyle w:val="FootnoteReference"/>
        </w:rPr>
        <w:footnoteRef/>
      </w:r>
      <w:r>
        <w:t xml:space="preserve"> See the Apprenticeship Accountability Statement for details of the various bodies involved in apprenticeship system oversight in England: </w:t>
      </w:r>
      <w:hyperlink r:id="rId3" w:history="1">
        <w:r w:rsidRPr="00935FE3">
          <w:rPr>
            <w:rStyle w:val="Hyperlink"/>
          </w:rPr>
          <w:t>https://www.gov.uk/government/publications/apprenticeship-accountability-statement</w:t>
        </w:r>
      </w:hyperlink>
      <w:r>
        <w:t xml:space="preserve"> </w:t>
      </w:r>
    </w:p>
  </w:footnote>
  <w:footnote w:id="6">
    <w:p w14:paraId="79643132" w14:textId="77777777" w:rsidR="004E0820" w:rsidRPr="00392631" w:rsidRDefault="004E0820" w:rsidP="005D4D9C">
      <w:pPr>
        <w:pStyle w:val="FootnoteText"/>
      </w:pPr>
      <w:r w:rsidRPr="00392631">
        <w:rPr>
          <w:rStyle w:val="FootnoteReference"/>
        </w:rPr>
        <w:footnoteRef/>
      </w:r>
      <w:r w:rsidRPr="00392631">
        <w:t xml:space="preserve"> </w:t>
      </w:r>
      <w:r w:rsidRPr="00392631">
        <w:rPr>
          <w:rFonts w:asciiTheme="minorHAnsi" w:hAnsiTheme="minorHAnsi"/>
        </w:rPr>
        <w:t xml:space="preserve">Regulated by the Office for Standards in Education, Children's Services and Skills (Ofsted) </w:t>
      </w:r>
      <w:hyperlink r:id="rId4" w:history="1">
        <w:r w:rsidRPr="00392631">
          <w:rPr>
            <w:rStyle w:val="Hyperlink"/>
            <w:rFonts w:asciiTheme="minorHAnsi" w:hAnsiTheme="minorHAnsi"/>
            <w:u w:val="none"/>
          </w:rPr>
          <w:t>www.gov.uk/government/organisations/ofsted</w:t>
        </w:r>
      </w:hyperlink>
      <w:r w:rsidRPr="00392631">
        <w:rPr>
          <w:rFonts w:asciiTheme="minorHAnsi" w:hAnsiTheme="minorHAnsi"/>
        </w:rPr>
        <w:t xml:space="preserve">. </w:t>
      </w:r>
    </w:p>
  </w:footnote>
  <w:footnote w:id="7">
    <w:p w14:paraId="13C04F57" w14:textId="77777777" w:rsidR="004E0820" w:rsidRPr="00836D65" w:rsidRDefault="004E0820" w:rsidP="005D4D9C">
      <w:pPr>
        <w:pStyle w:val="FootnoteText"/>
        <w:rPr>
          <w:rFonts w:cs="Calibri"/>
        </w:rPr>
      </w:pPr>
      <w:r w:rsidRPr="00392631">
        <w:rPr>
          <w:rStyle w:val="FootnoteReference"/>
        </w:rPr>
        <w:footnoteRef/>
      </w:r>
      <w:r w:rsidRPr="00392631">
        <w:t xml:space="preserve"> </w:t>
      </w:r>
      <w:r>
        <w:t xml:space="preserve">Including regulation </w:t>
      </w:r>
      <w:r>
        <w:rPr>
          <w:rFonts w:cs="Calibri"/>
        </w:rPr>
        <w:t>by</w:t>
      </w:r>
      <w:r w:rsidRPr="00392631">
        <w:rPr>
          <w:rFonts w:cs="Calibri"/>
        </w:rPr>
        <w:t xml:space="preserve"> the </w:t>
      </w:r>
      <w:r>
        <w:rPr>
          <w:rFonts w:cs="Calibri"/>
        </w:rPr>
        <w:t xml:space="preserve">General Medical Council </w:t>
      </w:r>
      <w:hyperlink r:id="rId5" w:history="1">
        <w:r w:rsidRPr="00514EBE">
          <w:rPr>
            <w:rStyle w:val="Hyperlink"/>
            <w:u w:val="none"/>
          </w:rPr>
          <w:t>www.gmc-uk.org/</w:t>
        </w:r>
      </w:hyperlink>
      <w:r>
        <w:rPr>
          <w:rFonts w:cs="Calibri"/>
        </w:rPr>
        <w:t xml:space="preserve">, </w:t>
      </w:r>
      <w:r w:rsidRPr="00392631">
        <w:rPr>
          <w:rFonts w:cs="Calibri"/>
        </w:rPr>
        <w:t xml:space="preserve">Health and Care Professions Council </w:t>
      </w:r>
      <w:hyperlink r:id="rId6" w:history="1">
        <w:r w:rsidRPr="00392631">
          <w:rPr>
            <w:rStyle w:val="Hyperlink"/>
            <w:rFonts w:cs="Calibri"/>
            <w:u w:val="none"/>
          </w:rPr>
          <w:t>www.hcpc-uk.co.uk/</w:t>
        </w:r>
      </w:hyperlink>
      <w:r>
        <w:rPr>
          <w:rStyle w:val="Hyperlink"/>
          <w:rFonts w:cs="Calibri"/>
          <w:u w:val="none"/>
        </w:rPr>
        <w:t>,</w:t>
      </w:r>
      <w:r w:rsidRPr="00392631">
        <w:rPr>
          <w:rFonts w:cs="Calibri"/>
        </w:rPr>
        <w:t xml:space="preserve"> Nursing and Midwifery Council </w:t>
      </w:r>
      <w:hyperlink r:id="rId7" w:history="1">
        <w:r w:rsidRPr="00392631">
          <w:rPr>
            <w:rStyle w:val="Hyperlink"/>
            <w:rFonts w:cs="Calibri"/>
            <w:u w:val="none"/>
          </w:rPr>
          <w:t>www.nmc.org.uk/</w:t>
        </w:r>
      </w:hyperlink>
      <w:r>
        <w:rPr>
          <w:rStyle w:val="Hyperlink"/>
          <w:rFonts w:cs="Calibri"/>
          <w:u w:val="none"/>
        </w:rPr>
        <w:t xml:space="preserve"> </w:t>
      </w:r>
      <w:r>
        <w:rPr>
          <w:rStyle w:val="Hyperlink"/>
          <w:rFonts w:cs="Calibri"/>
          <w:color w:val="auto"/>
          <w:u w:val="none"/>
        </w:rPr>
        <w:t xml:space="preserve">and Social Work England </w:t>
      </w:r>
      <w:hyperlink r:id="rId8" w:history="1">
        <w:r w:rsidRPr="00836D65">
          <w:rPr>
            <w:rStyle w:val="Hyperlink"/>
            <w:rFonts w:cs="Calibri"/>
            <w:u w:val="none"/>
          </w:rPr>
          <w:t>www.socialworkengland.org.uk/</w:t>
        </w:r>
      </w:hyperlink>
      <w:r w:rsidRPr="00836D65">
        <w:rPr>
          <w:rStyle w:val="Hyperlink"/>
          <w:rFonts w:cs="Calibri"/>
          <w:color w:val="auto"/>
          <w:u w:val="none"/>
        </w:rPr>
        <w:t>.</w:t>
      </w:r>
    </w:p>
  </w:footnote>
  <w:footnote w:id="8">
    <w:p w14:paraId="2EDED8DA" w14:textId="7C749957" w:rsidR="004E0820" w:rsidRDefault="004E0820" w:rsidP="00BE09B9">
      <w:pPr>
        <w:pStyle w:val="FootnoteText"/>
      </w:pPr>
      <w:r>
        <w:rPr>
          <w:rStyle w:val="FootnoteReference"/>
        </w:rPr>
        <w:footnoteRef/>
      </w:r>
      <w:r>
        <w:t xml:space="preserve"> </w:t>
      </w:r>
      <w:r>
        <w:rPr>
          <w:rFonts w:asciiTheme="minorHAnsi" w:hAnsiTheme="minorHAnsi"/>
        </w:rPr>
        <w:t>E.g.</w:t>
      </w:r>
      <w:r w:rsidRPr="005316EF">
        <w:rPr>
          <w:rFonts w:asciiTheme="minorHAnsi" w:hAnsiTheme="minorHAnsi"/>
        </w:rPr>
        <w:t xml:space="preserve">, a Departmental Risk Assessment or </w:t>
      </w:r>
      <w:r w:rsidR="007C71DB">
        <w:rPr>
          <w:rFonts w:asciiTheme="minorHAnsi" w:hAnsiTheme="minorHAnsi"/>
        </w:rPr>
        <w:t>Thematic Support Panels</w:t>
      </w:r>
      <w:r w:rsidRPr="005316EF">
        <w:rPr>
          <w:rFonts w:asciiTheme="minorHAnsi" w:hAnsiTheme="minorHAnsi"/>
        </w:rPr>
        <w:t xml:space="preserve"> – see Chapter 3.</w:t>
      </w:r>
    </w:p>
  </w:footnote>
  <w:footnote w:id="9">
    <w:p w14:paraId="4D087792" w14:textId="049D38A9" w:rsidR="004E0820" w:rsidRDefault="004E0820" w:rsidP="001A1C90">
      <w:pPr>
        <w:pStyle w:val="FootnoteText"/>
      </w:pPr>
      <w:r>
        <w:rPr>
          <w:rStyle w:val="FootnoteReference"/>
        </w:rPr>
        <w:footnoteRef/>
      </w:r>
      <w:r>
        <w:t xml:space="preserve"> </w:t>
      </w:r>
      <w:r w:rsidR="008F7FA4">
        <w:t xml:space="preserve">The University’s DOS can be viewed </w:t>
      </w:r>
      <w:hyperlink r:id="rId9" w:history="1">
        <w:r w:rsidR="008F7FA4" w:rsidRPr="008F7FA4">
          <w:rPr>
            <w:rStyle w:val="Hyperlink"/>
          </w:rPr>
          <w:t>here</w:t>
        </w:r>
      </w:hyperlink>
      <w:r w:rsidR="008F7FA4">
        <w:t>.</w:t>
      </w:r>
    </w:p>
  </w:footnote>
  <w:footnote w:id="10">
    <w:p w14:paraId="2B2DCFFF" w14:textId="466602B6" w:rsidR="004E0820" w:rsidRDefault="004E0820">
      <w:pPr>
        <w:pStyle w:val="FootnoteText"/>
      </w:pPr>
      <w:r>
        <w:rPr>
          <w:rStyle w:val="FootnoteReference"/>
        </w:rPr>
        <w:footnoteRef/>
      </w:r>
      <w:r>
        <w:t xml:space="preserve"> ‘</w:t>
      </w:r>
      <w:r w:rsidRPr="007E4B41">
        <w:t>Learning and teaching enhancement: doing things better and doing better things’, Schofield M., NEXUS Journal of Learning &amp; Teaching Research Volume 1, January 2009, pp. 166-185.</w:t>
      </w:r>
    </w:p>
  </w:footnote>
  <w:footnote w:id="11">
    <w:p w14:paraId="31953675" w14:textId="5220C894" w:rsidR="004E0820" w:rsidRDefault="004E0820" w:rsidP="004D2479">
      <w:pPr>
        <w:pStyle w:val="FootnoteText"/>
      </w:pPr>
      <w:r>
        <w:rPr>
          <w:rStyle w:val="FootnoteReference"/>
        </w:rPr>
        <w:footnoteRef/>
      </w:r>
      <w:r w:rsidRPr="005316EF">
        <w:rPr>
          <w:rFonts w:asciiTheme="minorHAnsi" w:hAnsiTheme="minorHAnsi"/>
        </w:rPr>
        <w:t xml:space="preserve">A forum for the exchange of information to enable quality practitioners located within Faculties and the </w:t>
      </w:r>
      <w:r>
        <w:rPr>
          <w:rFonts w:asciiTheme="minorHAnsi" w:hAnsiTheme="minorHAnsi"/>
        </w:rPr>
        <w:t>GQASC</w:t>
      </w:r>
      <w:r w:rsidRPr="005316EF">
        <w:rPr>
          <w:rFonts w:asciiTheme="minorHAnsi" w:hAnsiTheme="minorHAnsi"/>
        </w:rPr>
        <w:t xml:space="preserve"> </w:t>
      </w:r>
      <w:r w:rsidR="00D33DA3">
        <w:rPr>
          <w:rFonts w:asciiTheme="minorHAnsi" w:hAnsiTheme="minorHAnsi"/>
        </w:rPr>
        <w:t xml:space="preserve">unit </w:t>
      </w:r>
      <w:r w:rsidRPr="005316EF">
        <w:rPr>
          <w:rFonts w:asciiTheme="minorHAnsi" w:hAnsiTheme="minorHAnsi"/>
        </w:rPr>
        <w:t xml:space="preserve">to fulfil their responsibilities for quality management in </w:t>
      </w:r>
      <w:r>
        <w:rPr>
          <w:rFonts w:asciiTheme="minorHAnsi" w:hAnsiTheme="minorHAnsi"/>
        </w:rPr>
        <w:t>a</w:t>
      </w:r>
      <w:r w:rsidRPr="005316EF">
        <w:rPr>
          <w:rFonts w:asciiTheme="minorHAnsi" w:hAnsiTheme="minorHAnsi"/>
        </w:rPr>
        <w:t xml:space="preserve"> cohesive way</w:t>
      </w:r>
      <w:r w:rsidR="003E59BF">
        <w:rPr>
          <w:rFonts w:asciiTheme="minorHAnsi" w:hAnsiTheme="minorHAnsi"/>
        </w:rPr>
        <w:t>.</w:t>
      </w:r>
    </w:p>
  </w:footnote>
  <w:footnote w:id="12">
    <w:p w14:paraId="0E7B8448" w14:textId="6174E2DB" w:rsidR="004E0820" w:rsidRDefault="004E0820">
      <w:pPr>
        <w:pStyle w:val="FootnoteText"/>
      </w:pPr>
      <w:r>
        <w:rPr>
          <w:rStyle w:val="FootnoteReference"/>
        </w:rPr>
        <w:footnoteRef/>
      </w:r>
      <w:r>
        <w:t xml:space="preserve"> </w:t>
      </w:r>
      <w:r w:rsidRPr="005316EF">
        <w:rPr>
          <w:rFonts w:asciiTheme="minorHAnsi" w:hAnsiTheme="minorHAnsi"/>
        </w:rPr>
        <w:t>For example</w:t>
      </w:r>
      <w:r>
        <w:rPr>
          <w:rFonts w:asciiTheme="minorHAnsi" w:hAnsiTheme="minorHAnsi"/>
        </w:rPr>
        <w:t>,</w:t>
      </w:r>
      <w:r w:rsidRPr="005316EF">
        <w:rPr>
          <w:rFonts w:asciiTheme="minorHAnsi" w:hAnsiTheme="minorHAnsi"/>
        </w:rPr>
        <w:t xml:space="preserve"> the </w:t>
      </w:r>
      <w:r>
        <w:rPr>
          <w:rFonts w:asciiTheme="minorHAnsi" w:hAnsiTheme="minorHAnsi"/>
        </w:rPr>
        <w:t>Edge Hill Language Centre (Faculty of Arts and Sciences)</w:t>
      </w:r>
      <w:r w:rsidRPr="005316EF">
        <w:rPr>
          <w:rFonts w:asciiTheme="minorHAnsi" w:hAnsiTheme="minorHAnsi"/>
        </w:rPr>
        <w:t xml:space="preserve"> h</w:t>
      </w:r>
      <w:r>
        <w:rPr>
          <w:rFonts w:asciiTheme="minorHAnsi" w:hAnsiTheme="minorHAnsi"/>
        </w:rPr>
        <w:t xml:space="preserve">osts </w:t>
      </w:r>
      <w:r w:rsidRPr="005316EF">
        <w:rPr>
          <w:rFonts w:asciiTheme="minorHAnsi" w:hAnsiTheme="minorHAnsi"/>
        </w:rPr>
        <w:t xml:space="preserve">quality assurance </w:t>
      </w:r>
      <w:r>
        <w:rPr>
          <w:rFonts w:asciiTheme="minorHAnsi" w:hAnsiTheme="minorHAnsi"/>
        </w:rPr>
        <w:t>of</w:t>
      </w:r>
      <w:r w:rsidRPr="005316EF">
        <w:rPr>
          <w:rFonts w:asciiTheme="minorHAnsi" w:hAnsiTheme="minorHAnsi"/>
        </w:rPr>
        <w:t xml:space="preserve"> </w:t>
      </w:r>
      <w:r>
        <w:rPr>
          <w:rFonts w:asciiTheme="minorHAnsi" w:hAnsiTheme="minorHAnsi"/>
        </w:rPr>
        <w:t xml:space="preserve">the cross-faculty </w:t>
      </w:r>
      <w:r w:rsidRPr="005316EF">
        <w:rPr>
          <w:rFonts w:asciiTheme="minorHAnsi" w:hAnsiTheme="minorHAnsi"/>
        </w:rPr>
        <w:t>Fastrack</w:t>
      </w:r>
      <w:r>
        <w:rPr>
          <w:rFonts w:asciiTheme="minorHAnsi" w:hAnsiTheme="minorHAnsi"/>
        </w:rPr>
        <w:t xml:space="preserve"> programme, </w:t>
      </w:r>
      <w:r w:rsidRPr="005316EF">
        <w:rPr>
          <w:rFonts w:asciiTheme="minorHAnsi" w:hAnsiTheme="minorHAnsi"/>
        </w:rPr>
        <w:t xml:space="preserve">while </w:t>
      </w:r>
      <w:r>
        <w:rPr>
          <w:rFonts w:asciiTheme="minorHAnsi" w:hAnsiTheme="minorHAnsi"/>
        </w:rPr>
        <w:t xml:space="preserve">quality assurance of </w:t>
      </w:r>
      <w:r w:rsidRPr="005316EF">
        <w:rPr>
          <w:rFonts w:asciiTheme="minorHAnsi" w:hAnsiTheme="minorHAnsi"/>
        </w:rPr>
        <w:t xml:space="preserve">the </w:t>
      </w:r>
      <w:r>
        <w:rPr>
          <w:rFonts w:asciiTheme="minorHAnsi" w:hAnsiTheme="minorHAnsi"/>
        </w:rPr>
        <w:t>PGCert</w:t>
      </w:r>
      <w:r w:rsidRPr="005316EF">
        <w:rPr>
          <w:rFonts w:asciiTheme="minorHAnsi" w:hAnsiTheme="minorHAnsi"/>
        </w:rPr>
        <w:t xml:space="preserve"> Teaching in Higher Education is </w:t>
      </w:r>
      <w:r>
        <w:rPr>
          <w:rFonts w:asciiTheme="minorHAnsi" w:hAnsiTheme="minorHAnsi"/>
        </w:rPr>
        <w:t xml:space="preserve">conducted via </w:t>
      </w:r>
      <w:r w:rsidRPr="005316EF">
        <w:rPr>
          <w:rFonts w:asciiTheme="minorHAnsi" w:hAnsiTheme="minorHAnsi"/>
        </w:rPr>
        <w:t>the Business School</w:t>
      </w:r>
      <w:r>
        <w:rPr>
          <w:rFonts w:asciiTheme="minorHAnsi" w:hAnsiTheme="minorHAnsi"/>
        </w:rPr>
        <w:t xml:space="preserve"> (Faculty of Arts and Sciences)</w:t>
      </w:r>
      <w:r w:rsidRPr="005316EF">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BDC4" w14:textId="1EF36A90" w:rsidR="004E0820" w:rsidRDefault="004E0820" w:rsidP="0041591F">
    <w:pPr>
      <w:pStyle w:val="Style1"/>
      <w:pBdr>
        <w:top w:val="single" w:sz="4" w:space="0" w:color="auto"/>
      </w:pBdr>
      <w:rPr>
        <w:sz w:val="24"/>
      </w:rPr>
    </w:pPr>
    <w:r>
      <w:t>Edge Hill University</w:t>
    </w:r>
    <w:r>
      <w:tab/>
    </w:r>
    <w:r>
      <w:tab/>
      <w:t>Quality Management Handbook</w:t>
    </w:r>
  </w:p>
  <w:p w14:paraId="7FC40B53" w14:textId="77777777" w:rsidR="004E0820" w:rsidRDefault="004E0820" w:rsidP="0041591F">
    <w:pPr>
      <w:pStyle w:val="Style1"/>
      <w:pBdr>
        <w:top w:val="single" w:sz="4" w:space="0" w:color="auto"/>
      </w:pBdr>
    </w:pPr>
    <w:r>
      <w:tab/>
      <w:t xml:space="preserve">                                                   Chapter 1 The Quality Strategy: Management of Quality and Standards</w:t>
    </w:r>
  </w:p>
  <w:p w14:paraId="039D0F53" w14:textId="1929E2F0" w:rsidR="004E0820" w:rsidRPr="0041591F" w:rsidRDefault="004E0820" w:rsidP="0041591F">
    <w:pPr>
      <w:pStyle w:val="Header"/>
      <w:tabs>
        <w:tab w:val="clear" w:pos="4513"/>
        <w:tab w:val="clear" w:pos="9026"/>
        <w:tab w:val="left" w:pos="36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3849" w14:textId="77777777" w:rsidR="004E0820" w:rsidRDefault="004E0820" w:rsidP="00BC19EF">
    <w:pPr>
      <w:pStyle w:val="Style1"/>
      <w:pBdr>
        <w:top w:val="single" w:sz="4" w:space="0" w:color="auto"/>
      </w:pBdr>
      <w:rPr>
        <w:sz w:val="24"/>
      </w:rPr>
    </w:pPr>
    <w:r>
      <w:t>Edge Hill University</w:t>
    </w:r>
    <w:r>
      <w:tab/>
    </w:r>
    <w:r>
      <w:tab/>
      <w:t>Quality Management Handbook</w:t>
    </w:r>
  </w:p>
  <w:p w14:paraId="574726B4" w14:textId="77777777" w:rsidR="004E0820" w:rsidRDefault="004E0820" w:rsidP="00BC19EF">
    <w:pPr>
      <w:pStyle w:val="Style1"/>
      <w:pBdr>
        <w:top w:val="single" w:sz="4" w:space="0" w:color="auto"/>
      </w:pBdr>
    </w:pPr>
    <w:r>
      <w:tab/>
      <w:t xml:space="preserve">                                                   Chapter 1 The Quality Strategy: Management of Quality and Standards</w:t>
    </w:r>
  </w:p>
  <w:p w14:paraId="5AD871E2" w14:textId="77777777" w:rsidR="004E0820" w:rsidRDefault="004E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24A"/>
    <w:multiLevelType w:val="hybridMultilevel"/>
    <w:tmpl w:val="652E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57A"/>
    <w:multiLevelType w:val="hybridMultilevel"/>
    <w:tmpl w:val="932A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2164"/>
    <w:multiLevelType w:val="hybridMultilevel"/>
    <w:tmpl w:val="861EA3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80960E4"/>
    <w:multiLevelType w:val="hybridMultilevel"/>
    <w:tmpl w:val="C6202E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51EB6"/>
    <w:multiLevelType w:val="hybridMultilevel"/>
    <w:tmpl w:val="A300DC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DC87428"/>
    <w:multiLevelType w:val="hybridMultilevel"/>
    <w:tmpl w:val="CB90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21280"/>
    <w:multiLevelType w:val="hybridMultilevel"/>
    <w:tmpl w:val="E812ABE6"/>
    <w:lvl w:ilvl="0" w:tplc="9D52DC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04558"/>
    <w:multiLevelType w:val="hybridMultilevel"/>
    <w:tmpl w:val="F5EE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32525"/>
    <w:multiLevelType w:val="multilevel"/>
    <w:tmpl w:val="487E6A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227A3A"/>
    <w:multiLevelType w:val="hybridMultilevel"/>
    <w:tmpl w:val="8AC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3BF"/>
    <w:multiLevelType w:val="hybridMultilevel"/>
    <w:tmpl w:val="0FA6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1259C"/>
    <w:multiLevelType w:val="hybridMultilevel"/>
    <w:tmpl w:val="92962464"/>
    <w:lvl w:ilvl="0" w:tplc="6E1E17AA">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20CB4"/>
    <w:multiLevelType w:val="hybridMultilevel"/>
    <w:tmpl w:val="FB3018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A6BD7"/>
    <w:multiLevelType w:val="hybridMultilevel"/>
    <w:tmpl w:val="BB7035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BA345CA"/>
    <w:multiLevelType w:val="hybridMultilevel"/>
    <w:tmpl w:val="1D1CFA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1FAD"/>
    <w:multiLevelType w:val="hybridMultilevel"/>
    <w:tmpl w:val="AE30E4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5635612"/>
    <w:multiLevelType w:val="hybridMultilevel"/>
    <w:tmpl w:val="8082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D0450"/>
    <w:multiLevelType w:val="hybridMultilevel"/>
    <w:tmpl w:val="2FC4D358"/>
    <w:lvl w:ilvl="0" w:tplc="08090001">
      <w:start w:val="1"/>
      <w:numFmt w:val="bullet"/>
      <w:lvlText w:val=""/>
      <w:lvlJc w:val="left"/>
      <w:pPr>
        <w:ind w:left="720" w:hanging="360"/>
      </w:pPr>
      <w:rPr>
        <w:rFonts w:ascii="Symbol" w:hAnsi="Symbol"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D7C57"/>
    <w:multiLevelType w:val="hybridMultilevel"/>
    <w:tmpl w:val="BFE0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F2D7C"/>
    <w:multiLevelType w:val="hybridMultilevel"/>
    <w:tmpl w:val="54B8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A0591"/>
    <w:multiLevelType w:val="hybridMultilevel"/>
    <w:tmpl w:val="C8F0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23FA5"/>
    <w:multiLevelType w:val="hybridMultilevel"/>
    <w:tmpl w:val="AB00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34FB9"/>
    <w:multiLevelType w:val="hybridMultilevel"/>
    <w:tmpl w:val="414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E6B38"/>
    <w:multiLevelType w:val="hybridMultilevel"/>
    <w:tmpl w:val="1A661094"/>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4" w15:restartNumberingAfterBreak="0">
    <w:nsid w:val="4ECE7EC7"/>
    <w:multiLevelType w:val="hybridMultilevel"/>
    <w:tmpl w:val="F0A2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274C6"/>
    <w:multiLevelType w:val="multilevel"/>
    <w:tmpl w:val="39E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5402F9"/>
    <w:multiLevelType w:val="hybridMultilevel"/>
    <w:tmpl w:val="6734BEEE"/>
    <w:lvl w:ilvl="0" w:tplc="77E4E2BC">
      <w:start w:val="1"/>
      <w:numFmt w:val="decimal"/>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34ED2"/>
    <w:multiLevelType w:val="hybridMultilevel"/>
    <w:tmpl w:val="4680F8CA"/>
    <w:lvl w:ilvl="0" w:tplc="18B65F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416C66"/>
    <w:multiLevelType w:val="hybridMultilevel"/>
    <w:tmpl w:val="1F08BFC8"/>
    <w:lvl w:ilvl="0" w:tplc="F9BAF670">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94DD1"/>
    <w:multiLevelType w:val="multilevel"/>
    <w:tmpl w:val="310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E728A"/>
    <w:multiLevelType w:val="multilevel"/>
    <w:tmpl w:val="C9DE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769E2"/>
    <w:multiLevelType w:val="hybridMultilevel"/>
    <w:tmpl w:val="C4C6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77DE6"/>
    <w:multiLevelType w:val="hybridMultilevel"/>
    <w:tmpl w:val="883602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60166F6"/>
    <w:multiLevelType w:val="multilevel"/>
    <w:tmpl w:val="39E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57082"/>
    <w:multiLevelType w:val="hybridMultilevel"/>
    <w:tmpl w:val="DD3251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7C7266A0"/>
    <w:multiLevelType w:val="hybridMultilevel"/>
    <w:tmpl w:val="E19A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36D74"/>
    <w:multiLevelType w:val="hybridMultilevel"/>
    <w:tmpl w:val="909654DC"/>
    <w:lvl w:ilvl="0" w:tplc="468CF762">
      <w:start w:val="1"/>
      <w:numFmt w:val="lowerRoman"/>
      <w:lvlText w:val="(%1)"/>
      <w:lvlJc w:val="left"/>
      <w:pPr>
        <w:ind w:left="720" w:hanging="360"/>
      </w:pPr>
      <w:rPr>
        <w:rFonts w:ascii="Calibri" w:eastAsia="Calibri" w:hAnsi="Calibri" w:cs="Calibri"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179142">
    <w:abstractNumId w:val="1"/>
  </w:num>
  <w:num w:numId="2" w16cid:durableId="390350173">
    <w:abstractNumId w:val="3"/>
  </w:num>
  <w:num w:numId="3" w16cid:durableId="1876695936">
    <w:abstractNumId w:val="9"/>
  </w:num>
  <w:num w:numId="4" w16cid:durableId="795292108">
    <w:abstractNumId w:val="0"/>
  </w:num>
  <w:num w:numId="5" w16cid:durableId="491458055">
    <w:abstractNumId w:val="19"/>
  </w:num>
  <w:num w:numId="6" w16cid:durableId="1667904237">
    <w:abstractNumId w:val="24"/>
  </w:num>
  <w:num w:numId="7" w16cid:durableId="419106528">
    <w:abstractNumId w:val="36"/>
  </w:num>
  <w:num w:numId="8" w16cid:durableId="601568364">
    <w:abstractNumId w:val="21"/>
  </w:num>
  <w:num w:numId="9" w16cid:durableId="1242135862">
    <w:abstractNumId w:val="27"/>
  </w:num>
  <w:num w:numId="10" w16cid:durableId="1112171741">
    <w:abstractNumId w:val="25"/>
  </w:num>
  <w:num w:numId="11" w16cid:durableId="1518544049">
    <w:abstractNumId w:val="31"/>
  </w:num>
  <w:num w:numId="12" w16cid:durableId="1832716595">
    <w:abstractNumId w:val="33"/>
  </w:num>
  <w:num w:numId="13" w16cid:durableId="1971935265">
    <w:abstractNumId w:val="20"/>
  </w:num>
  <w:num w:numId="14" w16cid:durableId="987711109">
    <w:abstractNumId w:val="30"/>
  </w:num>
  <w:num w:numId="15" w16cid:durableId="986668731">
    <w:abstractNumId w:val="23"/>
  </w:num>
  <w:num w:numId="16" w16cid:durableId="463424048">
    <w:abstractNumId w:val="16"/>
  </w:num>
  <w:num w:numId="17" w16cid:durableId="1073742892">
    <w:abstractNumId w:val="8"/>
  </w:num>
  <w:num w:numId="18" w16cid:durableId="2106074055">
    <w:abstractNumId w:val="6"/>
  </w:num>
  <w:num w:numId="19" w16cid:durableId="750542477">
    <w:abstractNumId w:val="35"/>
  </w:num>
  <w:num w:numId="20" w16cid:durableId="1741321007">
    <w:abstractNumId w:val="5"/>
  </w:num>
  <w:num w:numId="21" w16cid:durableId="730036192">
    <w:abstractNumId w:val="32"/>
  </w:num>
  <w:num w:numId="22" w16cid:durableId="1463813428">
    <w:abstractNumId w:val="18"/>
  </w:num>
  <w:num w:numId="23" w16cid:durableId="1788692120">
    <w:abstractNumId w:val="2"/>
  </w:num>
  <w:num w:numId="24" w16cid:durableId="993949897">
    <w:abstractNumId w:val="34"/>
  </w:num>
  <w:num w:numId="25" w16cid:durableId="119734557">
    <w:abstractNumId w:val="7"/>
  </w:num>
  <w:num w:numId="26" w16cid:durableId="666056394">
    <w:abstractNumId w:val="4"/>
  </w:num>
  <w:num w:numId="27" w16cid:durableId="565846785">
    <w:abstractNumId w:val="22"/>
  </w:num>
  <w:num w:numId="28" w16cid:durableId="1899433838">
    <w:abstractNumId w:val="10"/>
  </w:num>
  <w:num w:numId="29" w16cid:durableId="1703750291">
    <w:abstractNumId w:val="15"/>
  </w:num>
  <w:num w:numId="30" w16cid:durableId="461118589">
    <w:abstractNumId w:val="13"/>
  </w:num>
  <w:num w:numId="31" w16cid:durableId="2089838831">
    <w:abstractNumId w:val="17"/>
  </w:num>
  <w:num w:numId="32" w16cid:durableId="1128933611">
    <w:abstractNumId w:val="12"/>
  </w:num>
  <w:num w:numId="33" w16cid:durableId="1505626562">
    <w:abstractNumId w:val="14"/>
  </w:num>
  <w:num w:numId="34" w16cid:durableId="1418602002">
    <w:abstractNumId w:val="11"/>
  </w:num>
  <w:num w:numId="35" w16cid:durableId="565411590">
    <w:abstractNumId w:val="28"/>
  </w:num>
  <w:num w:numId="36" w16cid:durableId="1195193444">
    <w:abstractNumId w:val="26"/>
  </w:num>
  <w:num w:numId="37" w16cid:durableId="187815634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2CB0"/>
    <w:rsid w:val="000041B5"/>
    <w:rsid w:val="000062F1"/>
    <w:rsid w:val="00011888"/>
    <w:rsid w:val="00017456"/>
    <w:rsid w:val="00020772"/>
    <w:rsid w:val="0002276D"/>
    <w:rsid w:val="00026C1D"/>
    <w:rsid w:val="00030B73"/>
    <w:rsid w:val="0003212C"/>
    <w:rsid w:val="0003295B"/>
    <w:rsid w:val="00033ECD"/>
    <w:rsid w:val="000352D8"/>
    <w:rsid w:val="000354B9"/>
    <w:rsid w:val="0003576D"/>
    <w:rsid w:val="00036DBE"/>
    <w:rsid w:val="00036EF4"/>
    <w:rsid w:val="000373B9"/>
    <w:rsid w:val="0004209C"/>
    <w:rsid w:val="000424E0"/>
    <w:rsid w:val="00042928"/>
    <w:rsid w:val="00042C0F"/>
    <w:rsid w:val="00044E44"/>
    <w:rsid w:val="00044EAF"/>
    <w:rsid w:val="00046BCC"/>
    <w:rsid w:val="00057734"/>
    <w:rsid w:val="00057EE4"/>
    <w:rsid w:val="0006042C"/>
    <w:rsid w:val="000633FC"/>
    <w:rsid w:val="00063558"/>
    <w:rsid w:val="000641E4"/>
    <w:rsid w:val="00064624"/>
    <w:rsid w:val="00065751"/>
    <w:rsid w:val="00066EED"/>
    <w:rsid w:val="000678E4"/>
    <w:rsid w:val="000721FA"/>
    <w:rsid w:val="000723F3"/>
    <w:rsid w:val="000729F3"/>
    <w:rsid w:val="00080301"/>
    <w:rsid w:val="00082DD6"/>
    <w:rsid w:val="00083262"/>
    <w:rsid w:val="000911E9"/>
    <w:rsid w:val="00092387"/>
    <w:rsid w:val="00096B83"/>
    <w:rsid w:val="00097FEA"/>
    <w:rsid w:val="000A1CAF"/>
    <w:rsid w:val="000A3052"/>
    <w:rsid w:val="000A410E"/>
    <w:rsid w:val="000B2062"/>
    <w:rsid w:val="000B56AE"/>
    <w:rsid w:val="000B72EA"/>
    <w:rsid w:val="000C3B1B"/>
    <w:rsid w:val="000C447F"/>
    <w:rsid w:val="000C589C"/>
    <w:rsid w:val="000C5D0E"/>
    <w:rsid w:val="000C63D8"/>
    <w:rsid w:val="000C6E95"/>
    <w:rsid w:val="000D2984"/>
    <w:rsid w:val="000D2993"/>
    <w:rsid w:val="000D4E3E"/>
    <w:rsid w:val="000D58B8"/>
    <w:rsid w:val="000D766C"/>
    <w:rsid w:val="000D7EB5"/>
    <w:rsid w:val="000E2BB3"/>
    <w:rsid w:val="000E7136"/>
    <w:rsid w:val="000E77D9"/>
    <w:rsid w:val="000F0325"/>
    <w:rsid w:val="000F13FD"/>
    <w:rsid w:val="000F1CCD"/>
    <w:rsid w:val="000F3143"/>
    <w:rsid w:val="000F393E"/>
    <w:rsid w:val="000F63F9"/>
    <w:rsid w:val="000F660A"/>
    <w:rsid w:val="00101280"/>
    <w:rsid w:val="00101D64"/>
    <w:rsid w:val="0010254B"/>
    <w:rsid w:val="00104D82"/>
    <w:rsid w:val="00111370"/>
    <w:rsid w:val="00112A6E"/>
    <w:rsid w:val="001141CB"/>
    <w:rsid w:val="00114CB6"/>
    <w:rsid w:val="00127E22"/>
    <w:rsid w:val="00131F09"/>
    <w:rsid w:val="00134C70"/>
    <w:rsid w:val="00135BB2"/>
    <w:rsid w:val="001366C9"/>
    <w:rsid w:val="00140126"/>
    <w:rsid w:val="0014153F"/>
    <w:rsid w:val="001435C2"/>
    <w:rsid w:val="0014377C"/>
    <w:rsid w:val="001445AB"/>
    <w:rsid w:val="001446CF"/>
    <w:rsid w:val="0014620F"/>
    <w:rsid w:val="0015053D"/>
    <w:rsid w:val="001609EB"/>
    <w:rsid w:val="00160CD4"/>
    <w:rsid w:val="00164C10"/>
    <w:rsid w:val="00165FF5"/>
    <w:rsid w:val="00167FC6"/>
    <w:rsid w:val="00171CCC"/>
    <w:rsid w:val="00172A17"/>
    <w:rsid w:val="00173964"/>
    <w:rsid w:val="00173AF6"/>
    <w:rsid w:val="0017407B"/>
    <w:rsid w:val="001743EE"/>
    <w:rsid w:val="001748EE"/>
    <w:rsid w:val="0017771A"/>
    <w:rsid w:val="00177743"/>
    <w:rsid w:val="00180089"/>
    <w:rsid w:val="00181462"/>
    <w:rsid w:val="00184ADE"/>
    <w:rsid w:val="00185B4D"/>
    <w:rsid w:val="00186919"/>
    <w:rsid w:val="00191AA6"/>
    <w:rsid w:val="001974C9"/>
    <w:rsid w:val="001A0301"/>
    <w:rsid w:val="001A0FD9"/>
    <w:rsid w:val="001A1C90"/>
    <w:rsid w:val="001A3383"/>
    <w:rsid w:val="001A668E"/>
    <w:rsid w:val="001A6809"/>
    <w:rsid w:val="001A6BE4"/>
    <w:rsid w:val="001A6C35"/>
    <w:rsid w:val="001A7852"/>
    <w:rsid w:val="001B2613"/>
    <w:rsid w:val="001B2E2D"/>
    <w:rsid w:val="001B6938"/>
    <w:rsid w:val="001B717D"/>
    <w:rsid w:val="001C006A"/>
    <w:rsid w:val="001C069C"/>
    <w:rsid w:val="001C0DFD"/>
    <w:rsid w:val="001C0F4A"/>
    <w:rsid w:val="001C47A7"/>
    <w:rsid w:val="001C4F84"/>
    <w:rsid w:val="001D3431"/>
    <w:rsid w:val="001D6857"/>
    <w:rsid w:val="001E02CE"/>
    <w:rsid w:val="001E25AC"/>
    <w:rsid w:val="001E5845"/>
    <w:rsid w:val="001E7233"/>
    <w:rsid w:val="001F0569"/>
    <w:rsid w:val="001F111E"/>
    <w:rsid w:val="001F55C8"/>
    <w:rsid w:val="001F742E"/>
    <w:rsid w:val="00202FAD"/>
    <w:rsid w:val="00204561"/>
    <w:rsid w:val="00204C58"/>
    <w:rsid w:val="00205CB8"/>
    <w:rsid w:val="00205D8B"/>
    <w:rsid w:val="00205E8B"/>
    <w:rsid w:val="002111D7"/>
    <w:rsid w:val="002112FC"/>
    <w:rsid w:val="00211613"/>
    <w:rsid w:val="00212332"/>
    <w:rsid w:val="00212D00"/>
    <w:rsid w:val="00216008"/>
    <w:rsid w:val="00225786"/>
    <w:rsid w:val="00226B29"/>
    <w:rsid w:val="0023035B"/>
    <w:rsid w:val="00231189"/>
    <w:rsid w:val="00231F42"/>
    <w:rsid w:val="00232504"/>
    <w:rsid w:val="00233AB2"/>
    <w:rsid w:val="002344E8"/>
    <w:rsid w:val="002347F6"/>
    <w:rsid w:val="00235CDF"/>
    <w:rsid w:val="002401C6"/>
    <w:rsid w:val="0024023F"/>
    <w:rsid w:val="00241622"/>
    <w:rsid w:val="00242C67"/>
    <w:rsid w:val="00245F08"/>
    <w:rsid w:val="00250680"/>
    <w:rsid w:val="00250C15"/>
    <w:rsid w:val="002558A6"/>
    <w:rsid w:val="0025715B"/>
    <w:rsid w:val="00260469"/>
    <w:rsid w:val="00260527"/>
    <w:rsid w:val="00263636"/>
    <w:rsid w:val="002648D9"/>
    <w:rsid w:val="00265F86"/>
    <w:rsid w:val="0026660A"/>
    <w:rsid w:val="0027202E"/>
    <w:rsid w:val="002727F4"/>
    <w:rsid w:val="00272F31"/>
    <w:rsid w:val="00273736"/>
    <w:rsid w:val="002753FC"/>
    <w:rsid w:val="002767BE"/>
    <w:rsid w:val="00276F64"/>
    <w:rsid w:val="00277FE9"/>
    <w:rsid w:val="0028350D"/>
    <w:rsid w:val="00285752"/>
    <w:rsid w:val="00285BAA"/>
    <w:rsid w:val="00285E47"/>
    <w:rsid w:val="00286D0C"/>
    <w:rsid w:val="00290161"/>
    <w:rsid w:val="002909D7"/>
    <w:rsid w:val="00290E0F"/>
    <w:rsid w:val="00291DA3"/>
    <w:rsid w:val="00293BE0"/>
    <w:rsid w:val="00295A42"/>
    <w:rsid w:val="00295F20"/>
    <w:rsid w:val="002A012C"/>
    <w:rsid w:val="002A08AD"/>
    <w:rsid w:val="002A0AE6"/>
    <w:rsid w:val="002A194B"/>
    <w:rsid w:val="002A1D6E"/>
    <w:rsid w:val="002A4C62"/>
    <w:rsid w:val="002A7E33"/>
    <w:rsid w:val="002B0DFB"/>
    <w:rsid w:val="002B10FF"/>
    <w:rsid w:val="002B4269"/>
    <w:rsid w:val="002B6452"/>
    <w:rsid w:val="002C0FB6"/>
    <w:rsid w:val="002C1748"/>
    <w:rsid w:val="002C1995"/>
    <w:rsid w:val="002C45D6"/>
    <w:rsid w:val="002C4B5F"/>
    <w:rsid w:val="002C4BC4"/>
    <w:rsid w:val="002C5865"/>
    <w:rsid w:val="002C616F"/>
    <w:rsid w:val="002C62B1"/>
    <w:rsid w:val="002C64FF"/>
    <w:rsid w:val="002C7585"/>
    <w:rsid w:val="002C7747"/>
    <w:rsid w:val="002C7AB0"/>
    <w:rsid w:val="002D0088"/>
    <w:rsid w:val="002D2142"/>
    <w:rsid w:val="002E00A6"/>
    <w:rsid w:val="002E2255"/>
    <w:rsid w:val="002E396A"/>
    <w:rsid w:val="002E49BA"/>
    <w:rsid w:val="002E5A22"/>
    <w:rsid w:val="002E6F03"/>
    <w:rsid w:val="002E7470"/>
    <w:rsid w:val="002E7EDD"/>
    <w:rsid w:val="002F4760"/>
    <w:rsid w:val="00300680"/>
    <w:rsid w:val="00302F37"/>
    <w:rsid w:val="00303543"/>
    <w:rsid w:val="003050FE"/>
    <w:rsid w:val="00307FE7"/>
    <w:rsid w:val="00312DD6"/>
    <w:rsid w:val="00315481"/>
    <w:rsid w:val="003165BD"/>
    <w:rsid w:val="0032052B"/>
    <w:rsid w:val="00320E25"/>
    <w:rsid w:val="00324B66"/>
    <w:rsid w:val="00325194"/>
    <w:rsid w:val="003258A5"/>
    <w:rsid w:val="003268E8"/>
    <w:rsid w:val="00326B50"/>
    <w:rsid w:val="00327090"/>
    <w:rsid w:val="00330FF5"/>
    <w:rsid w:val="0033374F"/>
    <w:rsid w:val="00335B73"/>
    <w:rsid w:val="003362E0"/>
    <w:rsid w:val="00340802"/>
    <w:rsid w:val="00340BC4"/>
    <w:rsid w:val="003432F3"/>
    <w:rsid w:val="00346630"/>
    <w:rsid w:val="003479AC"/>
    <w:rsid w:val="003506F3"/>
    <w:rsid w:val="00360A14"/>
    <w:rsid w:val="00360FEE"/>
    <w:rsid w:val="00363475"/>
    <w:rsid w:val="00364BA0"/>
    <w:rsid w:val="00374423"/>
    <w:rsid w:val="003822AA"/>
    <w:rsid w:val="00383800"/>
    <w:rsid w:val="00384CFD"/>
    <w:rsid w:val="003860C3"/>
    <w:rsid w:val="00386404"/>
    <w:rsid w:val="00386BF8"/>
    <w:rsid w:val="00390988"/>
    <w:rsid w:val="003911DA"/>
    <w:rsid w:val="0039131B"/>
    <w:rsid w:val="00391B1E"/>
    <w:rsid w:val="00392631"/>
    <w:rsid w:val="00394215"/>
    <w:rsid w:val="003945C1"/>
    <w:rsid w:val="0039690C"/>
    <w:rsid w:val="003A0AD2"/>
    <w:rsid w:val="003A1803"/>
    <w:rsid w:val="003A4F09"/>
    <w:rsid w:val="003A5608"/>
    <w:rsid w:val="003A591A"/>
    <w:rsid w:val="003A5DA8"/>
    <w:rsid w:val="003A7429"/>
    <w:rsid w:val="003B02B4"/>
    <w:rsid w:val="003B3114"/>
    <w:rsid w:val="003B3A79"/>
    <w:rsid w:val="003B4D5F"/>
    <w:rsid w:val="003B53A4"/>
    <w:rsid w:val="003B7062"/>
    <w:rsid w:val="003B7685"/>
    <w:rsid w:val="003C03BF"/>
    <w:rsid w:val="003C0591"/>
    <w:rsid w:val="003C3657"/>
    <w:rsid w:val="003C64BF"/>
    <w:rsid w:val="003D113D"/>
    <w:rsid w:val="003D1BBC"/>
    <w:rsid w:val="003D348A"/>
    <w:rsid w:val="003D7752"/>
    <w:rsid w:val="003D78DD"/>
    <w:rsid w:val="003D78F2"/>
    <w:rsid w:val="003E067E"/>
    <w:rsid w:val="003E3B67"/>
    <w:rsid w:val="003E59BF"/>
    <w:rsid w:val="003F0694"/>
    <w:rsid w:val="003F1987"/>
    <w:rsid w:val="003F7825"/>
    <w:rsid w:val="004016B3"/>
    <w:rsid w:val="00401752"/>
    <w:rsid w:val="004045B1"/>
    <w:rsid w:val="0040605C"/>
    <w:rsid w:val="0040639F"/>
    <w:rsid w:val="00411F87"/>
    <w:rsid w:val="004137EC"/>
    <w:rsid w:val="0041591F"/>
    <w:rsid w:val="00415AE6"/>
    <w:rsid w:val="00421451"/>
    <w:rsid w:val="0042237C"/>
    <w:rsid w:val="00423397"/>
    <w:rsid w:val="00425994"/>
    <w:rsid w:val="004268E3"/>
    <w:rsid w:val="00431722"/>
    <w:rsid w:val="0044009A"/>
    <w:rsid w:val="004418E5"/>
    <w:rsid w:val="00441928"/>
    <w:rsid w:val="0044200F"/>
    <w:rsid w:val="00445125"/>
    <w:rsid w:val="004458B9"/>
    <w:rsid w:val="00446A63"/>
    <w:rsid w:val="00450FF5"/>
    <w:rsid w:val="00451C85"/>
    <w:rsid w:val="00452836"/>
    <w:rsid w:val="00452BCD"/>
    <w:rsid w:val="0045422A"/>
    <w:rsid w:val="00454A35"/>
    <w:rsid w:val="00454DF6"/>
    <w:rsid w:val="004551C3"/>
    <w:rsid w:val="00455B73"/>
    <w:rsid w:val="00455DC4"/>
    <w:rsid w:val="00456C3A"/>
    <w:rsid w:val="00456EFA"/>
    <w:rsid w:val="0045758F"/>
    <w:rsid w:val="00460F86"/>
    <w:rsid w:val="00461512"/>
    <w:rsid w:val="00461784"/>
    <w:rsid w:val="004620B6"/>
    <w:rsid w:val="004632A2"/>
    <w:rsid w:val="00464526"/>
    <w:rsid w:val="00465BB2"/>
    <w:rsid w:val="00466850"/>
    <w:rsid w:val="004741F7"/>
    <w:rsid w:val="00474393"/>
    <w:rsid w:val="00480784"/>
    <w:rsid w:val="00481CAC"/>
    <w:rsid w:val="004828D8"/>
    <w:rsid w:val="00484FCF"/>
    <w:rsid w:val="004900C4"/>
    <w:rsid w:val="00490C3C"/>
    <w:rsid w:val="00490ED5"/>
    <w:rsid w:val="00496481"/>
    <w:rsid w:val="004A0CFD"/>
    <w:rsid w:val="004A1B92"/>
    <w:rsid w:val="004A494D"/>
    <w:rsid w:val="004A4E36"/>
    <w:rsid w:val="004A509C"/>
    <w:rsid w:val="004A79A3"/>
    <w:rsid w:val="004B0B44"/>
    <w:rsid w:val="004B0CC1"/>
    <w:rsid w:val="004B341C"/>
    <w:rsid w:val="004B472E"/>
    <w:rsid w:val="004B4F02"/>
    <w:rsid w:val="004B69FC"/>
    <w:rsid w:val="004B6EB4"/>
    <w:rsid w:val="004B7139"/>
    <w:rsid w:val="004C0F47"/>
    <w:rsid w:val="004C197E"/>
    <w:rsid w:val="004C2930"/>
    <w:rsid w:val="004C3ACD"/>
    <w:rsid w:val="004C3B69"/>
    <w:rsid w:val="004C5405"/>
    <w:rsid w:val="004C568F"/>
    <w:rsid w:val="004C59F0"/>
    <w:rsid w:val="004C63F5"/>
    <w:rsid w:val="004C6692"/>
    <w:rsid w:val="004C6873"/>
    <w:rsid w:val="004D18ED"/>
    <w:rsid w:val="004D20BB"/>
    <w:rsid w:val="004D2479"/>
    <w:rsid w:val="004D3C55"/>
    <w:rsid w:val="004D6EFF"/>
    <w:rsid w:val="004D782C"/>
    <w:rsid w:val="004D7C38"/>
    <w:rsid w:val="004E0820"/>
    <w:rsid w:val="004E3CCA"/>
    <w:rsid w:val="004E61E3"/>
    <w:rsid w:val="004E711A"/>
    <w:rsid w:val="004E7C55"/>
    <w:rsid w:val="004F00B6"/>
    <w:rsid w:val="004F2ABA"/>
    <w:rsid w:val="004F48F3"/>
    <w:rsid w:val="004F5D0E"/>
    <w:rsid w:val="004F5F65"/>
    <w:rsid w:val="004F60A5"/>
    <w:rsid w:val="004F7C5B"/>
    <w:rsid w:val="005005E9"/>
    <w:rsid w:val="00500AB9"/>
    <w:rsid w:val="00501D4A"/>
    <w:rsid w:val="00503688"/>
    <w:rsid w:val="00504055"/>
    <w:rsid w:val="005045B2"/>
    <w:rsid w:val="00505865"/>
    <w:rsid w:val="00510157"/>
    <w:rsid w:val="00510CA5"/>
    <w:rsid w:val="00514EBE"/>
    <w:rsid w:val="00515205"/>
    <w:rsid w:val="005160C9"/>
    <w:rsid w:val="005241FB"/>
    <w:rsid w:val="0052474F"/>
    <w:rsid w:val="00526BED"/>
    <w:rsid w:val="00526D51"/>
    <w:rsid w:val="00527882"/>
    <w:rsid w:val="005300BF"/>
    <w:rsid w:val="00530B63"/>
    <w:rsid w:val="00530D2A"/>
    <w:rsid w:val="005310D6"/>
    <w:rsid w:val="00531395"/>
    <w:rsid w:val="00532523"/>
    <w:rsid w:val="0053385F"/>
    <w:rsid w:val="00534EBA"/>
    <w:rsid w:val="00536468"/>
    <w:rsid w:val="005410D3"/>
    <w:rsid w:val="0054277F"/>
    <w:rsid w:val="00542B85"/>
    <w:rsid w:val="0054339C"/>
    <w:rsid w:val="00544A87"/>
    <w:rsid w:val="00545CEF"/>
    <w:rsid w:val="00547969"/>
    <w:rsid w:val="00547A77"/>
    <w:rsid w:val="00552011"/>
    <w:rsid w:val="005534C4"/>
    <w:rsid w:val="00554465"/>
    <w:rsid w:val="00556DF8"/>
    <w:rsid w:val="005576D7"/>
    <w:rsid w:val="00557E6A"/>
    <w:rsid w:val="00560138"/>
    <w:rsid w:val="00560CC0"/>
    <w:rsid w:val="00562FC2"/>
    <w:rsid w:val="00564641"/>
    <w:rsid w:val="00564687"/>
    <w:rsid w:val="00564B69"/>
    <w:rsid w:val="005666C5"/>
    <w:rsid w:val="00570B54"/>
    <w:rsid w:val="005769B4"/>
    <w:rsid w:val="00576A6B"/>
    <w:rsid w:val="00581B8C"/>
    <w:rsid w:val="0058227C"/>
    <w:rsid w:val="005847AB"/>
    <w:rsid w:val="005901AD"/>
    <w:rsid w:val="005933ED"/>
    <w:rsid w:val="005939CA"/>
    <w:rsid w:val="00593B67"/>
    <w:rsid w:val="00594AD8"/>
    <w:rsid w:val="00597157"/>
    <w:rsid w:val="005A15B8"/>
    <w:rsid w:val="005A4396"/>
    <w:rsid w:val="005A4C16"/>
    <w:rsid w:val="005A608B"/>
    <w:rsid w:val="005A75F6"/>
    <w:rsid w:val="005B06EA"/>
    <w:rsid w:val="005B12BB"/>
    <w:rsid w:val="005B27BD"/>
    <w:rsid w:val="005B3022"/>
    <w:rsid w:val="005B3368"/>
    <w:rsid w:val="005B3715"/>
    <w:rsid w:val="005B45EC"/>
    <w:rsid w:val="005B47EA"/>
    <w:rsid w:val="005B4C4D"/>
    <w:rsid w:val="005B657A"/>
    <w:rsid w:val="005B7DB8"/>
    <w:rsid w:val="005C25E0"/>
    <w:rsid w:val="005C4787"/>
    <w:rsid w:val="005C5F68"/>
    <w:rsid w:val="005C6006"/>
    <w:rsid w:val="005D4D9C"/>
    <w:rsid w:val="005E0B34"/>
    <w:rsid w:val="005E1F7E"/>
    <w:rsid w:val="005E2367"/>
    <w:rsid w:val="005E349B"/>
    <w:rsid w:val="005F2DC8"/>
    <w:rsid w:val="00602819"/>
    <w:rsid w:val="0060621C"/>
    <w:rsid w:val="00610744"/>
    <w:rsid w:val="0061342B"/>
    <w:rsid w:val="006148AA"/>
    <w:rsid w:val="00614A5A"/>
    <w:rsid w:val="00615064"/>
    <w:rsid w:val="00616079"/>
    <w:rsid w:val="00616275"/>
    <w:rsid w:val="0061691C"/>
    <w:rsid w:val="00616A7E"/>
    <w:rsid w:val="00616A84"/>
    <w:rsid w:val="00617394"/>
    <w:rsid w:val="006222B4"/>
    <w:rsid w:val="006233B5"/>
    <w:rsid w:val="00626F43"/>
    <w:rsid w:val="00634D8B"/>
    <w:rsid w:val="00637190"/>
    <w:rsid w:val="006376B2"/>
    <w:rsid w:val="00641631"/>
    <w:rsid w:val="00642300"/>
    <w:rsid w:val="00642E5E"/>
    <w:rsid w:val="00643C7E"/>
    <w:rsid w:val="00643D8C"/>
    <w:rsid w:val="00644D82"/>
    <w:rsid w:val="00644FDD"/>
    <w:rsid w:val="0064523D"/>
    <w:rsid w:val="0064529D"/>
    <w:rsid w:val="006474CF"/>
    <w:rsid w:val="00647D57"/>
    <w:rsid w:val="00656784"/>
    <w:rsid w:val="006613D2"/>
    <w:rsid w:val="006618F9"/>
    <w:rsid w:val="0066266E"/>
    <w:rsid w:val="0066304E"/>
    <w:rsid w:val="00663896"/>
    <w:rsid w:val="00664671"/>
    <w:rsid w:val="006723D1"/>
    <w:rsid w:val="00674CC5"/>
    <w:rsid w:val="00675EA2"/>
    <w:rsid w:val="00685842"/>
    <w:rsid w:val="00687506"/>
    <w:rsid w:val="00687B4B"/>
    <w:rsid w:val="00687E5F"/>
    <w:rsid w:val="00692941"/>
    <w:rsid w:val="00696814"/>
    <w:rsid w:val="006969BC"/>
    <w:rsid w:val="006979A9"/>
    <w:rsid w:val="006A5EC5"/>
    <w:rsid w:val="006A64EA"/>
    <w:rsid w:val="006A7640"/>
    <w:rsid w:val="006B03A7"/>
    <w:rsid w:val="006B2326"/>
    <w:rsid w:val="006B3AE2"/>
    <w:rsid w:val="006B3E1F"/>
    <w:rsid w:val="006B4DFB"/>
    <w:rsid w:val="006B6422"/>
    <w:rsid w:val="006C1340"/>
    <w:rsid w:val="006C31A0"/>
    <w:rsid w:val="006C3AD2"/>
    <w:rsid w:val="006C5224"/>
    <w:rsid w:val="006C5409"/>
    <w:rsid w:val="006C6E75"/>
    <w:rsid w:val="006D1A02"/>
    <w:rsid w:val="006E03ED"/>
    <w:rsid w:val="006E2CD8"/>
    <w:rsid w:val="006E31D6"/>
    <w:rsid w:val="006E34BA"/>
    <w:rsid w:val="006E4FDE"/>
    <w:rsid w:val="006E58D8"/>
    <w:rsid w:val="006F1C5B"/>
    <w:rsid w:val="006F438E"/>
    <w:rsid w:val="006F452E"/>
    <w:rsid w:val="006F57C2"/>
    <w:rsid w:val="00701A03"/>
    <w:rsid w:val="00704EEE"/>
    <w:rsid w:val="007063EB"/>
    <w:rsid w:val="00707800"/>
    <w:rsid w:val="00707DAD"/>
    <w:rsid w:val="00711237"/>
    <w:rsid w:val="007112AD"/>
    <w:rsid w:val="007116CD"/>
    <w:rsid w:val="00711F91"/>
    <w:rsid w:val="00712FA5"/>
    <w:rsid w:val="007137C6"/>
    <w:rsid w:val="00714470"/>
    <w:rsid w:val="00714954"/>
    <w:rsid w:val="00715524"/>
    <w:rsid w:val="00715A5A"/>
    <w:rsid w:val="00717CD2"/>
    <w:rsid w:val="00722685"/>
    <w:rsid w:val="0072272A"/>
    <w:rsid w:val="007261B3"/>
    <w:rsid w:val="0073021F"/>
    <w:rsid w:val="007304F9"/>
    <w:rsid w:val="007344FB"/>
    <w:rsid w:val="0073519B"/>
    <w:rsid w:val="00737702"/>
    <w:rsid w:val="0074023B"/>
    <w:rsid w:val="00743E49"/>
    <w:rsid w:val="0074415F"/>
    <w:rsid w:val="00744E3E"/>
    <w:rsid w:val="00746A85"/>
    <w:rsid w:val="00751567"/>
    <w:rsid w:val="007604CC"/>
    <w:rsid w:val="00760B33"/>
    <w:rsid w:val="00760CA1"/>
    <w:rsid w:val="007619FF"/>
    <w:rsid w:val="0076395B"/>
    <w:rsid w:val="007657A3"/>
    <w:rsid w:val="00765BDF"/>
    <w:rsid w:val="00766C33"/>
    <w:rsid w:val="00770B7B"/>
    <w:rsid w:val="007748B4"/>
    <w:rsid w:val="00774DC1"/>
    <w:rsid w:val="00780055"/>
    <w:rsid w:val="00780261"/>
    <w:rsid w:val="00780E0C"/>
    <w:rsid w:val="00782F8B"/>
    <w:rsid w:val="007832C7"/>
    <w:rsid w:val="007833C8"/>
    <w:rsid w:val="007852D0"/>
    <w:rsid w:val="00786F5E"/>
    <w:rsid w:val="00790BEC"/>
    <w:rsid w:val="00794E82"/>
    <w:rsid w:val="00797482"/>
    <w:rsid w:val="007A1CE8"/>
    <w:rsid w:val="007A2279"/>
    <w:rsid w:val="007A24AF"/>
    <w:rsid w:val="007A3A36"/>
    <w:rsid w:val="007A3AD3"/>
    <w:rsid w:val="007B0D23"/>
    <w:rsid w:val="007B4EE6"/>
    <w:rsid w:val="007B6250"/>
    <w:rsid w:val="007B6267"/>
    <w:rsid w:val="007C0B88"/>
    <w:rsid w:val="007C15C6"/>
    <w:rsid w:val="007C5BAD"/>
    <w:rsid w:val="007C6615"/>
    <w:rsid w:val="007C71DB"/>
    <w:rsid w:val="007D32E4"/>
    <w:rsid w:val="007E1812"/>
    <w:rsid w:val="007E4B41"/>
    <w:rsid w:val="007E7F16"/>
    <w:rsid w:val="007F104B"/>
    <w:rsid w:val="007F4253"/>
    <w:rsid w:val="007F4606"/>
    <w:rsid w:val="008011C4"/>
    <w:rsid w:val="00801B14"/>
    <w:rsid w:val="0080202F"/>
    <w:rsid w:val="0080300B"/>
    <w:rsid w:val="008051DD"/>
    <w:rsid w:val="00806897"/>
    <w:rsid w:val="00807BFA"/>
    <w:rsid w:val="0081538E"/>
    <w:rsid w:val="00816F57"/>
    <w:rsid w:val="008177A4"/>
    <w:rsid w:val="00821E99"/>
    <w:rsid w:val="00822957"/>
    <w:rsid w:val="00823E5A"/>
    <w:rsid w:val="008251DA"/>
    <w:rsid w:val="00827E0D"/>
    <w:rsid w:val="00827F25"/>
    <w:rsid w:val="00830E0B"/>
    <w:rsid w:val="00831D6B"/>
    <w:rsid w:val="00832090"/>
    <w:rsid w:val="00836AED"/>
    <w:rsid w:val="00836D65"/>
    <w:rsid w:val="00837A55"/>
    <w:rsid w:val="00840176"/>
    <w:rsid w:val="00840463"/>
    <w:rsid w:val="00844709"/>
    <w:rsid w:val="00852925"/>
    <w:rsid w:val="0085332B"/>
    <w:rsid w:val="00853952"/>
    <w:rsid w:val="00854761"/>
    <w:rsid w:val="0085600C"/>
    <w:rsid w:val="00856752"/>
    <w:rsid w:val="00863C70"/>
    <w:rsid w:val="00864EFF"/>
    <w:rsid w:val="00865AC1"/>
    <w:rsid w:val="00866D05"/>
    <w:rsid w:val="00870824"/>
    <w:rsid w:val="008708E5"/>
    <w:rsid w:val="00872978"/>
    <w:rsid w:val="00872EBC"/>
    <w:rsid w:val="00876C3F"/>
    <w:rsid w:val="008855FA"/>
    <w:rsid w:val="00885E67"/>
    <w:rsid w:val="00890028"/>
    <w:rsid w:val="008917DD"/>
    <w:rsid w:val="00892DCB"/>
    <w:rsid w:val="00892E16"/>
    <w:rsid w:val="0089329D"/>
    <w:rsid w:val="008939F9"/>
    <w:rsid w:val="00893F7A"/>
    <w:rsid w:val="008A2C8C"/>
    <w:rsid w:val="008A330E"/>
    <w:rsid w:val="008A6B08"/>
    <w:rsid w:val="008A6DB1"/>
    <w:rsid w:val="008B40A9"/>
    <w:rsid w:val="008B4EC0"/>
    <w:rsid w:val="008B5C19"/>
    <w:rsid w:val="008B71B6"/>
    <w:rsid w:val="008B728E"/>
    <w:rsid w:val="008C3908"/>
    <w:rsid w:val="008C3C0C"/>
    <w:rsid w:val="008D0E4C"/>
    <w:rsid w:val="008D2A12"/>
    <w:rsid w:val="008D38C9"/>
    <w:rsid w:val="008D3F53"/>
    <w:rsid w:val="008D465F"/>
    <w:rsid w:val="008D51CF"/>
    <w:rsid w:val="008D7053"/>
    <w:rsid w:val="008D7E8B"/>
    <w:rsid w:val="008E0FE8"/>
    <w:rsid w:val="008E26FB"/>
    <w:rsid w:val="008E6E24"/>
    <w:rsid w:val="008E72BD"/>
    <w:rsid w:val="008F1E35"/>
    <w:rsid w:val="008F27FF"/>
    <w:rsid w:val="008F4621"/>
    <w:rsid w:val="008F6A20"/>
    <w:rsid w:val="008F6F7C"/>
    <w:rsid w:val="008F7C65"/>
    <w:rsid w:val="008F7EB1"/>
    <w:rsid w:val="008F7FA4"/>
    <w:rsid w:val="00905518"/>
    <w:rsid w:val="009077B4"/>
    <w:rsid w:val="009134F3"/>
    <w:rsid w:val="0091414F"/>
    <w:rsid w:val="00914C1E"/>
    <w:rsid w:val="00915AA1"/>
    <w:rsid w:val="00915BED"/>
    <w:rsid w:val="00917BC7"/>
    <w:rsid w:val="00920651"/>
    <w:rsid w:val="009211D5"/>
    <w:rsid w:val="00923BAE"/>
    <w:rsid w:val="00924CA1"/>
    <w:rsid w:val="009269CD"/>
    <w:rsid w:val="00927B06"/>
    <w:rsid w:val="009300FD"/>
    <w:rsid w:val="009357A9"/>
    <w:rsid w:val="00942795"/>
    <w:rsid w:val="00947099"/>
    <w:rsid w:val="00947510"/>
    <w:rsid w:val="00950427"/>
    <w:rsid w:val="009531B1"/>
    <w:rsid w:val="0095582C"/>
    <w:rsid w:val="00961A48"/>
    <w:rsid w:val="00961A50"/>
    <w:rsid w:val="009654CB"/>
    <w:rsid w:val="00967FC1"/>
    <w:rsid w:val="00970937"/>
    <w:rsid w:val="00970D18"/>
    <w:rsid w:val="00971F84"/>
    <w:rsid w:val="00973559"/>
    <w:rsid w:val="0097395E"/>
    <w:rsid w:val="00973B09"/>
    <w:rsid w:val="009745B9"/>
    <w:rsid w:val="009812FA"/>
    <w:rsid w:val="00981C78"/>
    <w:rsid w:val="00982517"/>
    <w:rsid w:val="00983EE7"/>
    <w:rsid w:val="00983FA4"/>
    <w:rsid w:val="00984CCC"/>
    <w:rsid w:val="0099370A"/>
    <w:rsid w:val="009938DA"/>
    <w:rsid w:val="00995AB0"/>
    <w:rsid w:val="00995C11"/>
    <w:rsid w:val="00997F2E"/>
    <w:rsid w:val="009A1EA8"/>
    <w:rsid w:val="009A5C93"/>
    <w:rsid w:val="009A7EDE"/>
    <w:rsid w:val="009B23BE"/>
    <w:rsid w:val="009B33D0"/>
    <w:rsid w:val="009B490A"/>
    <w:rsid w:val="009C01C2"/>
    <w:rsid w:val="009C1669"/>
    <w:rsid w:val="009C3940"/>
    <w:rsid w:val="009C3D1B"/>
    <w:rsid w:val="009C70D2"/>
    <w:rsid w:val="009D023B"/>
    <w:rsid w:val="009D03CE"/>
    <w:rsid w:val="009D532F"/>
    <w:rsid w:val="009E0A88"/>
    <w:rsid w:val="009E1FD5"/>
    <w:rsid w:val="009E214E"/>
    <w:rsid w:val="009E2C13"/>
    <w:rsid w:val="009E387C"/>
    <w:rsid w:val="009E4C9C"/>
    <w:rsid w:val="009E5938"/>
    <w:rsid w:val="009F663B"/>
    <w:rsid w:val="00A01E39"/>
    <w:rsid w:val="00A02773"/>
    <w:rsid w:val="00A0485C"/>
    <w:rsid w:val="00A07A9A"/>
    <w:rsid w:val="00A13DF9"/>
    <w:rsid w:val="00A1474F"/>
    <w:rsid w:val="00A225CF"/>
    <w:rsid w:val="00A24411"/>
    <w:rsid w:val="00A27F56"/>
    <w:rsid w:val="00A31CE5"/>
    <w:rsid w:val="00A320E5"/>
    <w:rsid w:val="00A32D5E"/>
    <w:rsid w:val="00A34864"/>
    <w:rsid w:val="00A348AA"/>
    <w:rsid w:val="00A36FE4"/>
    <w:rsid w:val="00A37EEC"/>
    <w:rsid w:val="00A411F5"/>
    <w:rsid w:val="00A417C8"/>
    <w:rsid w:val="00A41C15"/>
    <w:rsid w:val="00A42501"/>
    <w:rsid w:val="00A42D8F"/>
    <w:rsid w:val="00A446A0"/>
    <w:rsid w:val="00A44943"/>
    <w:rsid w:val="00A457FE"/>
    <w:rsid w:val="00A458E4"/>
    <w:rsid w:val="00A45A2E"/>
    <w:rsid w:val="00A50C34"/>
    <w:rsid w:val="00A520EF"/>
    <w:rsid w:val="00A52A39"/>
    <w:rsid w:val="00A53F53"/>
    <w:rsid w:val="00A56FC9"/>
    <w:rsid w:val="00A5704C"/>
    <w:rsid w:val="00A575E9"/>
    <w:rsid w:val="00A60B33"/>
    <w:rsid w:val="00A619DA"/>
    <w:rsid w:val="00A62B3B"/>
    <w:rsid w:val="00A6632C"/>
    <w:rsid w:val="00A668BD"/>
    <w:rsid w:val="00A6768D"/>
    <w:rsid w:val="00A7523E"/>
    <w:rsid w:val="00A754FA"/>
    <w:rsid w:val="00A75BB9"/>
    <w:rsid w:val="00A76B45"/>
    <w:rsid w:val="00A77FED"/>
    <w:rsid w:val="00A81DF0"/>
    <w:rsid w:val="00A82A03"/>
    <w:rsid w:val="00A83008"/>
    <w:rsid w:val="00A8319F"/>
    <w:rsid w:val="00A86026"/>
    <w:rsid w:val="00A91C21"/>
    <w:rsid w:val="00A920FF"/>
    <w:rsid w:val="00A93017"/>
    <w:rsid w:val="00A93F31"/>
    <w:rsid w:val="00A95B1B"/>
    <w:rsid w:val="00A97917"/>
    <w:rsid w:val="00A97D8D"/>
    <w:rsid w:val="00AA0583"/>
    <w:rsid w:val="00AA2081"/>
    <w:rsid w:val="00AA3026"/>
    <w:rsid w:val="00AA330A"/>
    <w:rsid w:val="00AB125C"/>
    <w:rsid w:val="00AB1745"/>
    <w:rsid w:val="00AB4291"/>
    <w:rsid w:val="00AB4C01"/>
    <w:rsid w:val="00AB4C5A"/>
    <w:rsid w:val="00AB4F10"/>
    <w:rsid w:val="00AC416A"/>
    <w:rsid w:val="00AC643F"/>
    <w:rsid w:val="00AC7DA8"/>
    <w:rsid w:val="00AD3555"/>
    <w:rsid w:val="00AD4A8D"/>
    <w:rsid w:val="00AD4FC4"/>
    <w:rsid w:val="00AD5885"/>
    <w:rsid w:val="00AD6F51"/>
    <w:rsid w:val="00AD7281"/>
    <w:rsid w:val="00AD7610"/>
    <w:rsid w:val="00AE093A"/>
    <w:rsid w:val="00AE101E"/>
    <w:rsid w:val="00AE2E01"/>
    <w:rsid w:val="00AE3102"/>
    <w:rsid w:val="00AE3C16"/>
    <w:rsid w:val="00AE4A20"/>
    <w:rsid w:val="00AE4CF5"/>
    <w:rsid w:val="00AE5134"/>
    <w:rsid w:val="00AE7171"/>
    <w:rsid w:val="00AE7284"/>
    <w:rsid w:val="00AE7DC6"/>
    <w:rsid w:val="00AF05C4"/>
    <w:rsid w:val="00AF244A"/>
    <w:rsid w:val="00AF6277"/>
    <w:rsid w:val="00B0710F"/>
    <w:rsid w:val="00B111BE"/>
    <w:rsid w:val="00B151B5"/>
    <w:rsid w:val="00B161CF"/>
    <w:rsid w:val="00B179A0"/>
    <w:rsid w:val="00B20CD8"/>
    <w:rsid w:val="00B21914"/>
    <w:rsid w:val="00B21ADE"/>
    <w:rsid w:val="00B274C6"/>
    <w:rsid w:val="00B2776B"/>
    <w:rsid w:val="00B27ED4"/>
    <w:rsid w:val="00B300BA"/>
    <w:rsid w:val="00B33EF5"/>
    <w:rsid w:val="00B373B7"/>
    <w:rsid w:val="00B3781E"/>
    <w:rsid w:val="00B4249F"/>
    <w:rsid w:val="00B427CB"/>
    <w:rsid w:val="00B42910"/>
    <w:rsid w:val="00B42AA0"/>
    <w:rsid w:val="00B46394"/>
    <w:rsid w:val="00B52D1D"/>
    <w:rsid w:val="00B55DAA"/>
    <w:rsid w:val="00B57E0F"/>
    <w:rsid w:val="00B62836"/>
    <w:rsid w:val="00B6303D"/>
    <w:rsid w:val="00B63E8A"/>
    <w:rsid w:val="00B66E07"/>
    <w:rsid w:val="00B675B7"/>
    <w:rsid w:val="00B72F00"/>
    <w:rsid w:val="00B7419F"/>
    <w:rsid w:val="00B81CCE"/>
    <w:rsid w:val="00B902E0"/>
    <w:rsid w:val="00B923C1"/>
    <w:rsid w:val="00B93C54"/>
    <w:rsid w:val="00B94566"/>
    <w:rsid w:val="00B951EC"/>
    <w:rsid w:val="00B965D3"/>
    <w:rsid w:val="00B966FA"/>
    <w:rsid w:val="00B968C7"/>
    <w:rsid w:val="00B9694C"/>
    <w:rsid w:val="00BA3CCA"/>
    <w:rsid w:val="00BA4F97"/>
    <w:rsid w:val="00BA59BA"/>
    <w:rsid w:val="00BA645B"/>
    <w:rsid w:val="00BA66A2"/>
    <w:rsid w:val="00BB189E"/>
    <w:rsid w:val="00BB1BC6"/>
    <w:rsid w:val="00BB2957"/>
    <w:rsid w:val="00BB2D14"/>
    <w:rsid w:val="00BB3055"/>
    <w:rsid w:val="00BB32A1"/>
    <w:rsid w:val="00BC0676"/>
    <w:rsid w:val="00BC0AE5"/>
    <w:rsid w:val="00BC19EF"/>
    <w:rsid w:val="00BC4918"/>
    <w:rsid w:val="00BC4EE9"/>
    <w:rsid w:val="00BC67CB"/>
    <w:rsid w:val="00BC7B83"/>
    <w:rsid w:val="00BD0D0A"/>
    <w:rsid w:val="00BD5334"/>
    <w:rsid w:val="00BD5472"/>
    <w:rsid w:val="00BD55B1"/>
    <w:rsid w:val="00BD5EE3"/>
    <w:rsid w:val="00BD6D47"/>
    <w:rsid w:val="00BE00F2"/>
    <w:rsid w:val="00BE0170"/>
    <w:rsid w:val="00BE06B6"/>
    <w:rsid w:val="00BE09B9"/>
    <w:rsid w:val="00BE1193"/>
    <w:rsid w:val="00BE401F"/>
    <w:rsid w:val="00BE45FF"/>
    <w:rsid w:val="00BE5173"/>
    <w:rsid w:val="00BE5DEF"/>
    <w:rsid w:val="00BE6528"/>
    <w:rsid w:val="00BF00D6"/>
    <w:rsid w:val="00BF127A"/>
    <w:rsid w:val="00BF1DFA"/>
    <w:rsid w:val="00BF20C4"/>
    <w:rsid w:val="00BF5699"/>
    <w:rsid w:val="00C011F6"/>
    <w:rsid w:val="00C04C5E"/>
    <w:rsid w:val="00C052EA"/>
    <w:rsid w:val="00C06B1F"/>
    <w:rsid w:val="00C07CB0"/>
    <w:rsid w:val="00C11D14"/>
    <w:rsid w:val="00C160DC"/>
    <w:rsid w:val="00C16C7D"/>
    <w:rsid w:val="00C17445"/>
    <w:rsid w:val="00C2270C"/>
    <w:rsid w:val="00C23815"/>
    <w:rsid w:val="00C24CA0"/>
    <w:rsid w:val="00C24E58"/>
    <w:rsid w:val="00C25E32"/>
    <w:rsid w:val="00C26A3F"/>
    <w:rsid w:val="00C27300"/>
    <w:rsid w:val="00C27344"/>
    <w:rsid w:val="00C2752D"/>
    <w:rsid w:val="00C27739"/>
    <w:rsid w:val="00C30FD6"/>
    <w:rsid w:val="00C31123"/>
    <w:rsid w:val="00C31424"/>
    <w:rsid w:val="00C31D49"/>
    <w:rsid w:val="00C32F98"/>
    <w:rsid w:val="00C33F72"/>
    <w:rsid w:val="00C34CF4"/>
    <w:rsid w:val="00C3647E"/>
    <w:rsid w:val="00C40119"/>
    <w:rsid w:val="00C41237"/>
    <w:rsid w:val="00C4184C"/>
    <w:rsid w:val="00C43BC7"/>
    <w:rsid w:val="00C44DA3"/>
    <w:rsid w:val="00C45671"/>
    <w:rsid w:val="00C45B4F"/>
    <w:rsid w:val="00C46895"/>
    <w:rsid w:val="00C501E3"/>
    <w:rsid w:val="00C503F3"/>
    <w:rsid w:val="00C52B90"/>
    <w:rsid w:val="00C54DEC"/>
    <w:rsid w:val="00C6112C"/>
    <w:rsid w:val="00C61B78"/>
    <w:rsid w:val="00C61CE0"/>
    <w:rsid w:val="00C61D92"/>
    <w:rsid w:val="00C63603"/>
    <w:rsid w:val="00C63F8E"/>
    <w:rsid w:val="00C6646B"/>
    <w:rsid w:val="00C6692A"/>
    <w:rsid w:val="00C729B0"/>
    <w:rsid w:val="00C72FD4"/>
    <w:rsid w:val="00C746E4"/>
    <w:rsid w:val="00C75AD5"/>
    <w:rsid w:val="00C80E65"/>
    <w:rsid w:val="00C81B91"/>
    <w:rsid w:val="00C81E51"/>
    <w:rsid w:val="00C84E27"/>
    <w:rsid w:val="00C8546C"/>
    <w:rsid w:val="00C90028"/>
    <w:rsid w:val="00C92184"/>
    <w:rsid w:val="00C93059"/>
    <w:rsid w:val="00C9598C"/>
    <w:rsid w:val="00C97A19"/>
    <w:rsid w:val="00C97F72"/>
    <w:rsid w:val="00CA5288"/>
    <w:rsid w:val="00CA67EB"/>
    <w:rsid w:val="00CB0CB8"/>
    <w:rsid w:val="00CB5ADD"/>
    <w:rsid w:val="00CB7B6F"/>
    <w:rsid w:val="00CC1D45"/>
    <w:rsid w:val="00CC20B4"/>
    <w:rsid w:val="00CC22B2"/>
    <w:rsid w:val="00CC2D6A"/>
    <w:rsid w:val="00CC3E3F"/>
    <w:rsid w:val="00CC46B7"/>
    <w:rsid w:val="00CC4C8D"/>
    <w:rsid w:val="00CC4D21"/>
    <w:rsid w:val="00CC56F7"/>
    <w:rsid w:val="00CC57D1"/>
    <w:rsid w:val="00CC5840"/>
    <w:rsid w:val="00CC649F"/>
    <w:rsid w:val="00CC7002"/>
    <w:rsid w:val="00CD03F2"/>
    <w:rsid w:val="00CD1AA8"/>
    <w:rsid w:val="00CD2338"/>
    <w:rsid w:val="00CD55C3"/>
    <w:rsid w:val="00CD7E2E"/>
    <w:rsid w:val="00CE4367"/>
    <w:rsid w:val="00CE4C5E"/>
    <w:rsid w:val="00CE597D"/>
    <w:rsid w:val="00CE720D"/>
    <w:rsid w:val="00CE778E"/>
    <w:rsid w:val="00CF75EE"/>
    <w:rsid w:val="00D01788"/>
    <w:rsid w:val="00D029A9"/>
    <w:rsid w:val="00D029BC"/>
    <w:rsid w:val="00D055F7"/>
    <w:rsid w:val="00D05BFC"/>
    <w:rsid w:val="00D06041"/>
    <w:rsid w:val="00D0681B"/>
    <w:rsid w:val="00D069EE"/>
    <w:rsid w:val="00D125A5"/>
    <w:rsid w:val="00D14169"/>
    <w:rsid w:val="00D15118"/>
    <w:rsid w:val="00D16D7E"/>
    <w:rsid w:val="00D20105"/>
    <w:rsid w:val="00D20638"/>
    <w:rsid w:val="00D22E5A"/>
    <w:rsid w:val="00D264B0"/>
    <w:rsid w:val="00D26F8E"/>
    <w:rsid w:val="00D2795F"/>
    <w:rsid w:val="00D30C95"/>
    <w:rsid w:val="00D328E5"/>
    <w:rsid w:val="00D32CA3"/>
    <w:rsid w:val="00D33821"/>
    <w:rsid w:val="00D33DA3"/>
    <w:rsid w:val="00D351AF"/>
    <w:rsid w:val="00D354F5"/>
    <w:rsid w:val="00D36F33"/>
    <w:rsid w:val="00D40452"/>
    <w:rsid w:val="00D42ED4"/>
    <w:rsid w:val="00D43969"/>
    <w:rsid w:val="00D44F65"/>
    <w:rsid w:val="00D458F5"/>
    <w:rsid w:val="00D45B06"/>
    <w:rsid w:val="00D47E08"/>
    <w:rsid w:val="00D51A86"/>
    <w:rsid w:val="00D51E4A"/>
    <w:rsid w:val="00D521C2"/>
    <w:rsid w:val="00D53622"/>
    <w:rsid w:val="00D53662"/>
    <w:rsid w:val="00D559ED"/>
    <w:rsid w:val="00D57C13"/>
    <w:rsid w:val="00D602EF"/>
    <w:rsid w:val="00D611C2"/>
    <w:rsid w:val="00D63B4F"/>
    <w:rsid w:val="00D64528"/>
    <w:rsid w:val="00D64E66"/>
    <w:rsid w:val="00D70CE5"/>
    <w:rsid w:val="00D713A8"/>
    <w:rsid w:val="00D717D6"/>
    <w:rsid w:val="00D73257"/>
    <w:rsid w:val="00D73CB6"/>
    <w:rsid w:val="00D73DD8"/>
    <w:rsid w:val="00D77213"/>
    <w:rsid w:val="00D80A74"/>
    <w:rsid w:val="00D81D8A"/>
    <w:rsid w:val="00D81E44"/>
    <w:rsid w:val="00D823BC"/>
    <w:rsid w:val="00D829ED"/>
    <w:rsid w:val="00D83A13"/>
    <w:rsid w:val="00D83FAF"/>
    <w:rsid w:val="00D8672D"/>
    <w:rsid w:val="00D9017B"/>
    <w:rsid w:val="00D9064E"/>
    <w:rsid w:val="00D943EA"/>
    <w:rsid w:val="00D9503C"/>
    <w:rsid w:val="00D96197"/>
    <w:rsid w:val="00D96A22"/>
    <w:rsid w:val="00D96C8E"/>
    <w:rsid w:val="00D971DB"/>
    <w:rsid w:val="00DA2305"/>
    <w:rsid w:val="00DA2D4E"/>
    <w:rsid w:val="00DA4E30"/>
    <w:rsid w:val="00DA4EE2"/>
    <w:rsid w:val="00DB2A41"/>
    <w:rsid w:val="00DB2C49"/>
    <w:rsid w:val="00DB3238"/>
    <w:rsid w:val="00DB53B9"/>
    <w:rsid w:val="00DC0C73"/>
    <w:rsid w:val="00DC3C7C"/>
    <w:rsid w:val="00DC7891"/>
    <w:rsid w:val="00DC7DCC"/>
    <w:rsid w:val="00DD2845"/>
    <w:rsid w:val="00DD4EB5"/>
    <w:rsid w:val="00DD56BD"/>
    <w:rsid w:val="00DD7C48"/>
    <w:rsid w:val="00DE07F7"/>
    <w:rsid w:val="00DE0BD6"/>
    <w:rsid w:val="00DE1972"/>
    <w:rsid w:val="00DE26D3"/>
    <w:rsid w:val="00DE3654"/>
    <w:rsid w:val="00DE3C83"/>
    <w:rsid w:val="00DE4E09"/>
    <w:rsid w:val="00DE7565"/>
    <w:rsid w:val="00DE7D22"/>
    <w:rsid w:val="00DF060C"/>
    <w:rsid w:val="00DF343E"/>
    <w:rsid w:val="00DF4904"/>
    <w:rsid w:val="00DF4A9D"/>
    <w:rsid w:val="00DF4B6A"/>
    <w:rsid w:val="00DF5A3C"/>
    <w:rsid w:val="00DF6E12"/>
    <w:rsid w:val="00E01E93"/>
    <w:rsid w:val="00E02933"/>
    <w:rsid w:val="00E04AD6"/>
    <w:rsid w:val="00E06717"/>
    <w:rsid w:val="00E1062D"/>
    <w:rsid w:val="00E12950"/>
    <w:rsid w:val="00E143B3"/>
    <w:rsid w:val="00E15D35"/>
    <w:rsid w:val="00E16ED1"/>
    <w:rsid w:val="00E21807"/>
    <w:rsid w:val="00E21C89"/>
    <w:rsid w:val="00E2287D"/>
    <w:rsid w:val="00E233F4"/>
    <w:rsid w:val="00E23D9E"/>
    <w:rsid w:val="00E30E9F"/>
    <w:rsid w:val="00E3170A"/>
    <w:rsid w:val="00E32940"/>
    <w:rsid w:val="00E3790D"/>
    <w:rsid w:val="00E37FD6"/>
    <w:rsid w:val="00E46A99"/>
    <w:rsid w:val="00E47CA0"/>
    <w:rsid w:val="00E52E81"/>
    <w:rsid w:val="00E53586"/>
    <w:rsid w:val="00E55068"/>
    <w:rsid w:val="00E5521A"/>
    <w:rsid w:val="00E5548F"/>
    <w:rsid w:val="00E56A05"/>
    <w:rsid w:val="00E60EDC"/>
    <w:rsid w:val="00E610AE"/>
    <w:rsid w:val="00E62492"/>
    <w:rsid w:val="00E63517"/>
    <w:rsid w:val="00E70283"/>
    <w:rsid w:val="00E702B1"/>
    <w:rsid w:val="00E70EF1"/>
    <w:rsid w:val="00E72B08"/>
    <w:rsid w:val="00E73792"/>
    <w:rsid w:val="00E74A01"/>
    <w:rsid w:val="00E766B5"/>
    <w:rsid w:val="00E76EF1"/>
    <w:rsid w:val="00E849B7"/>
    <w:rsid w:val="00E8690A"/>
    <w:rsid w:val="00E87E1D"/>
    <w:rsid w:val="00E95269"/>
    <w:rsid w:val="00E95BE3"/>
    <w:rsid w:val="00E972B8"/>
    <w:rsid w:val="00EA1218"/>
    <w:rsid w:val="00EA1617"/>
    <w:rsid w:val="00EA2545"/>
    <w:rsid w:val="00EA4B06"/>
    <w:rsid w:val="00EA5CD9"/>
    <w:rsid w:val="00EA7A19"/>
    <w:rsid w:val="00EB0FA0"/>
    <w:rsid w:val="00EB2496"/>
    <w:rsid w:val="00EB4D5A"/>
    <w:rsid w:val="00EC11C8"/>
    <w:rsid w:val="00EC1CC2"/>
    <w:rsid w:val="00EC23BF"/>
    <w:rsid w:val="00EC5A98"/>
    <w:rsid w:val="00EC5BCE"/>
    <w:rsid w:val="00ED1D88"/>
    <w:rsid w:val="00ED23B1"/>
    <w:rsid w:val="00ED49B0"/>
    <w:rsid w:val="00ED5EE1"/>
    <w:rsid w:val="00EE30C8"/>
    <w:rsid w:val="00EE5A01"/>
    <w:rsid w:val="00EF0BD1"/>
    <w:rsid w:val="00EF3125"/>
    <w:rsid w:val="00EF3BAB"/>
    <w:rsid w:val="00EF50A6"/>
    <w:rsid w:val="00F00BD4"/>
    <w:rsid w:val="00F01703"/>
    <w:rsid w:val="00F023DC"/>
    <w:rsid w:val="00F0678D"/>
    <w:rsid w:val="00F118EC"/>
    <w:rsid w:val="00F11A23"/>
    <w:rsid w:val="00F149A4"/>
    <w:rsid w:val="00F17C48"/>
    <w:rsid w:val="00F17F0E"/>
    <w:rsid w:val="00F20FCC"/>
    <w:rsid w:val="00F2741C"/>
    <w:rsid w:val="00F305A0"/>
    <w:rsid w:val="00F35CB4"/>
    <w:rsid w:val="00F360FE"/>
    <w:rsid w:val="00F36A18"/>
    <w:rsid w:val="00F40C31"/>
    <w:rsid w:val="00F41BD9"/>
    <w:rsid w:val="00F42344"/>
    <w:rsid w:val="00F42579"/>
    <w:rsid w:val="00F4392C"/>
    <w:rsid w:val="00F4524A"/>
    <w:rsid w:val="00F4615E"/>
    <w:rsid w:val="00F46F8A"/>
    <w:rsid w:val="00F5690F"/>
    <w:rsid w:val="00F56A69"/>
    <w:rsid w:val="00F57A84"/>
    <w:rsid w:val="00F6022B"/>
    <w:rsid w:val="00F603C9"/>
    <w:rsid w:val="00F6101E"/>
    <w:rsid w:val="00F61032"/>
    <w:rsid w:val="00F61743"/>
    <w:rsid w:val="00F61BED"/>
    <w:rsid w:val="00F61E1A"/>
    <w:rsid w:val="00F62207"/>
    <w:rsid w:val="00F62247"/>
    <w:rsid w:val="00F64C3D"/>
    <w:rsid w:val="00F65B6A"/>
    <w:rsid w:val="00F65E26"/>
    <w:rsid w:val="00F700B7"/>
    <w:rsid w:val="00F70885"/>
    <w:rsid w:val="00F71C13"/>
    <w:rsid w:val="00F74669"/>
    <w:rsid w:val="00F765F1"/>
    <w:rsid w:val="00F76B96"/>
    <w:rsid w:val="00F76EA8"/>
    <w:rsid w:val="00F80EB3"/>
    <w:rsid w:val="00F82024"/>
    <w:rsid w:val="00F83C4D"/>
    <w:rsid w:val="00F8508D"/>
    <w:rsid w:val="00F865A0"/>
    <w:rsid w:val="00F878F0"/>
    <w:rsid w:val="00F93F8B"/>
    <w:rsid w:val="00F955BE"/>
    <w:rsid w:val="00F9594F"/>
    <w:rsid w:val="00FA12CB"/>
    <w:rsid w:val="00FA4676"/>
    <w:rsid w:val="00FA485D"/>
    <w:rsid w:val="00FA5EEB"/>
    <w:rsid w:val="00FA6958"/>
    <w:rsid w:val="00FA7391"/>
    <w:rsid w:val="00FB0CA4"/>
    <w:rsid w:val="00FB276F"/>
    <w:rsid w:val="00FB4306"/>
    <w:rsid w:val="00FB575E"/>
    <w:rsid w:val="00FB5BF4"/>
    <w:rsid w:val="00FB67D8"/>
    <w:rsid w:val="00FB6B5C"/>
    <w:rsid w:val="00FC2CB9"/>
    <w:rsid w:val="00FC36C6"/>
    <w:rsid w:val="00FC3846"/>
    <w:rsid w:val="00FC3F10"/>
    <w:rsid w:val="00FC551C"/>
    <w:rsid w:val="00FD396A"/>
    <w:rsid w:val="00FD6D41"/>
    <w:rsid w:val="00FD74CC"/>
    <w:rsid w:val="00FE1403"/>
    <w:rsid w:val="00FE6470"/>
    <w:rsid w:val="00FF13C7"/>
    <w:rsid w:val="00FF1531"/>
    <w:rsid w:val="00FF3307"/>
    <w:rsid w:val="00FF540B"/>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825E"/>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8508D"/>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5310D6"/>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5310D6"/>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03212C"/>
    <w:pPr>
      <w:tabs>
        <w:tab w:val="right" w:leader="dot" w:pos="9016"/>
      </w:tabs>
      <w:spacing w:after="100" w:line="480" w:lineRule="auto"/>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34"/>
    <w:qFormat/>
    <w:rsid w:val="009E5938"/>
    <w:pPr>
      <w:ind w:left="720"/>
      <w:contextualSpacing/>
    </w:pPr>
  </w:style>
  <w:style w:type="paragraph" w:styleId="FootnoteText">
    <w:name w:val="footnote text"/>
    <w:basedOn w:val="Normal"/>
    <w:link w:val="FootnoteTextChar"/>
    <w:unhideWhenUsed/>
    <w:rsid w:val="009E5938"/>
    <w:pPr>
      <w:spacing w:after="0"/>
    </w:pPr>
    <w:rPr>
      <w:sz w:val="20"/>
      <w:szCs w:val="20"/>
    </w:rPr>
  </w:style>
  <w:style w:type="character" w:customStyle="1" w:styleId="FootnoteTextChar">
    <w:name w:val="Footnote Text Char"/>
    <w:basedOn w:val="DefaultParagraphFont"/>
    <w:link w:val="FootnoteText"/>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F8508D"/>
    <w:rPr>
      <w:rFonts w:ascii="Calibri" w:eastAsiaTheme="majorEastAsia" w:hAnsi="Calibri" w:cstheme="majorBidi"/>
      <w:b/>
      <w:sz w:val="24"/>
      <w:szCs w:val="24"/>
    </w:rPr>
  </w:style>
  <w:style w:type="paragraph" w:styleId="TOC2">
    <w:name w:val="toc 2"/>
    <w:basedOn w:val="Normal"/>
    <w:next w:val="Normal"/>
    <w:autoRedefine/>
    <w:uiPriority w:val="39"/>
    <w:unhideWhenUsed/>
    <w:rsid w:val="00A13DF9"/>
    <w:pPr>
      <w:tabs>
        <w:tab w:val="right" w:leader="dot" w:pos="9016"/>
      </w:tabs>
      <w:spacing w:after="100"/>
      <w:ind w:left="240"/>
    </w:pPr>
  </w:style>
  <w:style w:type="paragraph" w:styleId="TOC3">
    <w:name w:val="toc 3"/>
    <w:basedOn w:val="Normal"/>
    <w:next w:val="Normal"/>
    <w:autoRedefine/>
    <w:uiPriority w:val="39"/>
    <w:unhideWhenUsed/>
    <w:rsid w:val="00165FF5"/>
    <w:pPr>
      <w:tabs>
        <w:tab w:val="right" w:leader="dot" w:pos="9016"/>
      </w:tabs>
      <w:spacing w:after="100" w:line="480" w:lineRule="auto"/>
      <w:ind w:left="567"/>
    </w:pPr>
  </w:style>
  <w:style w:type="table" w:styleId="TableGrid">
    <w:name w:val="Table Grid"/>
    <w:basedOn w:val="TableNormal"/>
    <w:uiPriority w:val="59"/>
    <w:unhideWhenUsed/>
    <w:rsid w:val="00F8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5865"/>
    <w:pPr>
      <w:widowControl w:val="0"/>
      <w:autoSpaceDE w:val="0"/>
      <w:autoSpaceDN w:val="0"/>
      <w:spacing w:after="0"/>
      <w:ind w:left="106"/>
    </w:pPr>
    <w:rPr>
      <w:rFonts w:eastAsia="Calibri" w:cs="Calibri"/>
      <w:lang w:val="en-US"/>
    </w:rPr>
  </w:style>
  <w:style w:type="paragraph" w:styleId="BalloonText">
    <w:name w:val="Balloon Text"/>
    <w:basedOn w:val="Normal"/>
    <w:link w:val="BalloonTextChar"/>
    <w:uiPriority w:val="99"/>
    <w:semiHidden/>
    <w:unhideWhenUsed/>
    <w:rsid w:val="0050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65"/>
    <w:rPr>
      <w:rFonts w:ascii="Segoe UI" w:hAnsi="Segoe UI" w:cs="Segoe UI"/>
      <w:sz w:val="18"/>
      <w:szCs w:val="18"/>
    </w:rPr>
  </w:style>
  <w:style w:type="paragraph" w:styleId="Title">
    <w:name w:val="Title"/>
    <w:basedOn w:val="Normal"/>
    <w:next w:val="Normal"/>
    <w:link w:val="TitleChar"/>
    <w:uiPriority w:val="10"/>
    <w:qFormat/>
    <w:rsid w:val="00020772"/>
    <w:pPr>
      <w:spacing w:after="0"/>
      <w:contextualSpacing/>
    </w:pPr>
    <w:rPr>
      <w:rFonts w:eastAsiaTheme="majorEastAsia"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020772"/>
    <w:rPr>
      <w:rFonts w:ascii="Calibri" w:eastAsiaTheme="majorEastAsia" w:hAnsi="Calibri" w:cstheme="majorBidi"/>
      <w:color w:val="FFFFFF" w:themeColor="background1"/>
      <w:spacing w:val="-10"/>
      <w:kern w:val="28"/>
      <w:sz w:val="80"/>
      <w:szCs w:val="56"/>
    </w:rPr>
  </w:style>
  <w:style w:type="paragraph" w:customStyle="1" w:styleId="Default">
    <w:name w:val="Default"/>
    <w:rsid w:val="00285E4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3114"/>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E8690A"/>
    <w:rPr>
      <w:color w:val="800080" w:themeColor="followedHyperlink"/>
      <w:u w:val="single"/>
    </w:rPr>
  </w:style>
  <w:style w:type="table" w:styleId="PlainTable1">
    <w:name w:val="Plain Table 1"/>
    <w:basedOn w:val="TableNormal"/>
    <w:uiPriority w:val="41"/>
    <w:rsid w:val="00F602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B0CC1"/>
    <w:rPr>
      <w:sz w:val="16"/>
      <w:szCs w:val="16"/>
    </w:rPr>
  </w:style>
  <w:style w:type="paragraph" w:styleId="CommentText">
    <w:name w:val="annotation text"/>
    <w:basedOn w:val="Normal"/>
    <w:link w:val="CommentTextChar"/>
    <w:uiPriority w:val="99"/>
    <w:semiHidden/>
    <w:unhideWhenUsed/>
    <w:rsid w:val="004B0CC1"/>
    <w:rPr>
      <w:sz w:val="20"/>
      <w:szCs w:val="20"/>
    </w:rPr>
  </w:style>
  <w:style w:type="character" w:customStyle="1" w:styleId="CommentTextChar">
    <w:name w:val="Comment Text Char"/>
    <w:basedOn w:val="DefaultParagraphFont"/>
    <w:link w:val="CommentText"/>
    <w:uiPriority w:val="99"/>
    <w:semiHidden/>
    <w:rsid w:val="004B0CC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B0CC1"/>
    <w:rPr>
      <w:b/>
      <w:bCs/>
    </w:rPr>
  </w:style>
  <w:style w:type="character" w:customStyle="1" w:styleId="CommentSubjectChar">
    <w:name w:val="Comment Subject Char"/>
    <w:basedOn w:val="CommentTextChar"/>
    <w:link w:val="CommentSubject"/>
    <w:uiPriority w:val="99"/>
    <w:semiHidden/>
    <w:rsid w:val="004B0CC1"/>
    <w:rPr>
      <w:rFonts w:ascii="Calibri" w:hAnsi="Calibri"/>
      <w:b/>
      <w:bCs/>
      <w:sz w:val="20"/>
      <w:szCs w:val="20"/>
    </w:rPr>
  </w:style>
  <w:style w:type="character" w:customStyle="1" w:styleId="normaltextrun">
    <w:name w:val="normaltextrun"/>
    <w:basedOn w:val="DefaultParagraphFont"/>
    <w:rsid w:val="002C45D6"/>
  </w:style>
  <w:style w:type="character" w:customStyle="1" w:styleId="eop">
    <w:name w:val="eop"/>
    <w:basedOn w:val="DefaultParagraphFont"/>
    <w:rsid w:val="00D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926">
      <w:bodyDiv w:val="1"/>
      <w:marLeft w:val="0"/>
      <w:marRight w:val="0"/>
      <w:marTop w:val="0"/>
      <w:marBottom w:val="0"/>
      <w:divBdr>
        <w:top w:val="none" w:sz="0" w:space="0" w:color="auto"/>
        <w:left w:val="none" w:sz="0" w:space="0" w:color="auto"/>
        <w:bottom w:val="none" w:sz="0" w:space="0" w:color="auto"/>
        <w:right w:val="none" w:sz="0" w:space="0" w:color="auto"/>
      </w:divBdr>
    </w:div>
    <w:div w:id="138883164">
      <w:bodyDiv w:val="1"/>
      <w:marLeft w:val="0"/>
      <w:marRight w:val="0"/>
      <w:marTop w:val="0"/>
      <w:marBottom w:val="0"/>
      <w:divBdr>
        <w:top w:val="none" w:sz="0" w:space="0" w:color="auto"/>
        <w:left w:val="none" w:sz="0" w:space="0" w:color="auto"/>
        <w:bottom w:val="none" w:sz="0" w:space="0" w:color="auto"/>
        <w:right w:val="none" w:sz="0" w:space="0" w:color="auto"/>
      </w:divBdr>
    </w:div>
    <w:div w:id="730152060">
      <w:bodyDiv w:val="1"/>
      <w:marLeft w:val="0"/>
      <w:marRight w:val="0"/>
      <w:marTop w:val="0"/>
      <w:marBottom w:val="0"/>
      <w:divBdr>
        <w:top w:val="none" w:sz="0" w:space="0" w:color="auto"/>
        <w:left w:val="none" w:sz="0" w:space="0" w:color="auto"/>
        <w:bottom w:val="none" w:sz="0" w:space="0" w:color="auto"/>
        <w:right w:val="none" w:sz="0" w:space="0" w:color="auto"/>
      </w:divBdr>
    </w:div>
    <w:div w:id="1434858651">
      <w:bodyDiv w:val="1"/>
      <w:marLeft w:val="0"/>
      <w:marRight w:val="0"/>
      <w:marTop w:val="0"/>
      <w:marBottom w:val="0"/>
      <w:divBdr>
        <w:top w:val="none" w:sz="0" w:space="0" w:color="auto"/>
        <w:left w:val="none" w:sz="0" w:space="0" w:color="auto"/>
        <w:bottom w:val="none" w:sz="0" w:space="0" w:color="auto"/>
        <w:right w:val="none" w:sz="0" w:space="0" w:color="auto"/>
      </w:divBdr>
    </w:div>
    <w:div w:id="1437166844">
      <w:bodyDiv w:val="1"/>
      <w:marLeft w:val="0"/>
      <w:marRight w:val="0"/>
      <w:marTop w:val="0"/>
      <w:marBottom w:val="0"/>
      <w:divBdr>
        <w:top w:val="none" w:sz="0" w:space="0" w:color="auto"/>
        <w:left w:val="none" w:sz="0" w:space="0" w:color="auto"/>
        <w:bottom w:val="none" w:sz="0" w:space="0" w:color="auto"/>
        <w:right w:val="none" w:sz="0" w:space="0" w:color="auto"/>
      </w:divBdr>
    </w:div>
    <w:div w:id="20085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eforstudents.org.uk/advice-and-guidance/regulation/registration-with-the-ofs-a-guide/conditions-of-registration/" TargetMode="External"/><Relationship Id="rId18" Type="http://schemas.openxmlformats.org/officeDocument/2006/relationships/hyperlink" Target="file:///\\c1staffshare1\staffshare1\Governance%20Quality%20Assurance%20Student%20Casework\Quality%20Assurance\Quality%20Management%20Handbook\QMH%20for%20Website%2023-24\Professional%20Accreditations%20Register" TargetMode="External"/><Relationship Id="rId26" Type="http://schemas.openxmlformats.org/officeDocument/2006/relationships/hyperlink" Target="http://www.qaa.ac.uk/en/quality-code/subject-benchmark-statements" TargetMode="External"/><Relationship Id="rId21" Type="http://schemas.openxmlformats.org/officeDocument/2006/relationships/hyperlink" Target="https://www.edgehill.ac.uk/document/curriculum-strategy-2020-2025/"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fficeforstudents.org.uk/advice-and-guidance/regulation/registration-with-the-ofs-a-guide/conditions-of-registration/" TargetMode="External"/><Relationship Id="rId17" Type="http://schemas.openxmlformats.org/officeDocument/2006/relationships/hyperlink" Target="https://www.officeforstudents.org.uk/advice-and-guidance/teaching/about-the-tef/" TargetMode="External"/><Relationship Id="rId25" Type="http://schemas.openxmlformats.org/officeDocument/2006/relationships/hyperlink" Target="https://www.qaa.ac.uk/the-quality-code/characteristics-state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ki.edgehill.ac.uk/display/agqa/Key+Guidance+Documents" TargetMode="External"/><Relationship Id="rId20" Type="http://schemas.openxmlformats.org/officeDocument/2006/relationships/hyperlink" Target="http://www.edgehill.ac.uk/corporate-information/strategies-policies/?tab=governing-documents" TargetMode="External"/><Relationship Id="rId29" Type="http://schemas.openxmlformats.org/officeDocument/2006/relationships/hyperlink" Target="https://www.gov.uk/government/publications/higher-education-consumer-law-advice-for-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gehill.ac.uk/gqasc/" TargetMode="External"/><Relationship Id="rId24" Type="http://schemas.openxmlformats.org/officeDocument/2006/relationships/hyperlink" Target="http://www.qaa.ac.uk/en/quality-code/advice-and-guidanc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fficeforstudents.org.uk/publications/office-for-students-strategy-2022-to-2025/" TargetMode="External"/><Relationship Id="rId23" Type="http://schemas.openxmlformats.org/officeDocument/2006/relationships/hyperlink" Target="http://www.qaa.ac.uk/quality-code" TargetMode="External"/><Relationship Id="rId28" Type="http://schemas.openxmlformats.org/officeDocument/2006/relationships/hyperlink" Target="https://www.universitiesuk.ac.uk/what-we-do/policy-and-research/publications/degree-outcomes-statements-england-an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gehill.ac.uk/corporate-information/" TargetMode="External"/><Relationship Id="rId31" Type="http://schemas.openxmlformats.org/officeDocument/2006/relationships/hyperlink" Target="https://wiki.edgehill.ac.uk/display/agqa/Faculty+Quality+Processe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1231efe3-e050-47b2-8e63-c6d99d95144f/regulatory_framework_2022.pdf" TargetMode="External"/><Relationship Id="rId22" Type="http://schemas.openxmlformats.org/officeDocument/2006/relationships/hyperlink" Target="https://wiki.edgehill.ac.uk/display/ufr" TargetMode="External"/><Relationship Id="rId27" Type="http://schemas.openxmlformats.org/officeDocument/2006/relationships/hyperlink" Target="https://www.officeforstudents.org.uk/media/cffb3feb-c7ed-472d-8ad3-008175099a6b/sector-recognised-standards-in-england.pdf" TargetMode="External"/><Relationship Id="rId30" Type="http://schemas.openxmlformats.org/officeDocument/2006/relationships/hyperlink" Target="https://www.oiahe.org.uk/resources-and-publications/good-practice-framewor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socialworkengland.org.uk/" TargetMode="External"/><Relationship Id="rId3" Type="http://schemas.openxmlformats.org/officeDocument/2006/relationships/hyperlink" Target="https://www.gov.uk/government/publications/apprenticeship-accountability-statement" TargetMode="External"/><Relationship Id="rId7" Type="http://schemas.openxmlformats.org/officeDocument/2006/relationships/hyperlink" Target="http://www.nmc.org.uk/" TargetMode="External"/><Relationship Id="rId2" Type="http://schemas.openxmlformats.org/officeDocument/2006/relationships/hyperlink" Target="https://www.universitiesuk.ac.uk/what-we-do/policy-and-research/publications/framework-programme-reviews-ensuring" TargetMode="External"/><Relationship Id="rId1" Type="http://schemas.openxmlformats.org/officeDocument/2006/relationships/hyperlink" Target="https://www.officeforstudents.org.uk/media/02da9637-2742-47c5-a5f3-28747b2c8865/office-for-students-annual-report-and-accounts-2019-20.pdf" TargetMode="External"/><Relationship Id="rId6" Type="http://schemas.openxmlformats.org/officeDocument/2006/relationships/hyperlink" Target="http://www.hcpc-uk.co.uk/" TargetMode="External"/><Relationship Id="rId5" Type="http://schemas.openxmlformats.org/officeDocument/2006/relationships/hyperlink" Target="http://www.gmc-uk.org/" TargetMode="External"/><Relationship Id="rId4" Type="http://schemas.openxmlformats.org/officeDocument/2006/relationships/hyperlink" Target="http://www.gov.uk/government/organisations/ofsted" TargetMode="External"/><Relationship Id="rId9" Type="http://schemas.openxmlformats.org/officeDocument/2006/relationships/hyperlink" Target="https://www.edgehill.ac.uk/document/degree-outcomes-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62652-7638-445F-AE0B-93625A30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8F377-18AE-4F21-AB1F-C51F55E064EC}">
  <ds:schemaRefs>
    <ds:schemaRef ds:uri="http://schemas.openxmlformats.org/officeDocument/2006/bibliography"/>
  </ds:schemaRefs>
</ds:datastoreItem>
</file>

<file path=customXml/itemProps3.xml><?xml version="1.0" encoding="utf-8"?>
<ds:datastoreItem xmlns:ds="http://schemas.openxmlformats.org/officeDocument/2006/customXml" ds:itemID="{B87487EB-3228-4EC8-B5F0-71E0E7292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789ABA-DA2A-4A64-887E-8B8A9BC1A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Quality Management handbook Chapter 1 - The Quality Strategy: Management of Quality and Standards</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handbook Chapter 1 - The Quality Strategy: Management of Quality and Standards</dc:title>
  <dc:subject/>
  <dc:creator>Leoni Stanton</dc:creator>
  <cp:keywords/>
  <dc:description/>
  <cp:lastModifiedBy>Jennifer Smith</cp:lastModifiedBy>
  <cp:revision>8</cp:revision>
  <cp:lastPrinted>2020-09-08T09:43:00Z</cp:lastPrinted>
  <dcterms:created xsi:type="dcterms:W3CDTF">2023-10-27T10:16:00Z</dcterms:created>
  <dcterms:modified xsi:type="dcterms:W3CDTF">2023-11-24T11:06:00Z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